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2A964" w14:textId="16C16F15" w:rsidR="00EF5BA1" w:rsidRDefault="00791FB0" w:rsidP="00D50593">
      <w:pPr>
        <w:jc w:val="both"/>
        <w:rPr>
          <w:rFonts w:ascii="Titillium Web" w:hAnsi="Titillium Web"/>
        </w:rPr>
      </w:pPr>
      <w:r w:rsidRPr="00791FB0">
        <w:rPr>
          <w:rFonts w:ascii="Titillium Web" w:hAnsi="Titillium Web"/>
          <w:b/>
          <w:bCs/>
        </w:rPr>
        <w:t>Wie KI und Visualisierung die Transformation des Gebäudebestands neu ermöglichen</w:t>
      </w:r>
    </w:p>
    <w:p w14:paraId="0F23868E" w14:textId="6EF07AC4" w:rsidR="00791FB0" w:rsidRPr="00791FB0" w:rsidRDefault="00EF5BA1" w:rsidP="00D50593">
      <w:pPr>
        <w:jc w:val="both"/>
        <w:rPr>
          <w:rFonts w:ascii="Titillium Web" w:hAnsi="Titillium Web"/>
        </w:rPr>
      </w:pPr>
      <w:r>
        <w:rPr>
          <w:rFonts w:ascii="Titillium Web" w:hAnsi="Titillium Web"/>
          <w:noProof/>
        </w:rPr>
        <w:drawing>
          <wp:inline distT="0" distB="0" distL="0" distR="0" wp14:anchorId="21477F5C" wp14:editId="15CF2B49">
            <wp:extent cx="5765800" cy="2755900"/>
            <wp:effectExtent l="0" t="0" r="6350" b="6350"/>
            <wp:docPr id="11199446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235" b="12941"/>
                    <a:stretch>
                      <a:fillRect/>
                    </a:stretch>
                  </pic:blipFill>
                  <pic:spPr bwMode="auto">
                    <a:xfrm>
                      <a:off x="0" y="0"/>
                      <a:ext cx="5765800"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05FB76EE" w14:textId="3CB68123" w:rsidR="005A7815" w:rsidRPr="007F2FAB" w:rsidRDefault="00791FB0" w:rsidP="00D50593">
      <w:pPr>
        <w:jc w:val="both"/>
        <w:rPr>
          <w:rFonts w:ascii="Titillium Web" w:hAnsi="Titillium Web"/>
        </w:rPr>
      </w:pPr>
      <w:r w:rsidRPr="7C1732A9">
        <w:rPr>
          <w:rFonts w:ascii="Titillium Web" w:hAnsi="Titillium Web"/>
        </w:rPr>
        <w:t xml:space="preserve">Die </w:t>
      </w:r>
      <w:r w:rsidR="00677459" w:rsidRPr="7C1732A9">
        <w:rPr>
          <w:rFonts w:ascii="Titillium Web" w:hAnsi="Titillium Web"/>
        </w:rPr>
        <w:t>Gespräche</w:t>
      </w:r>
      <w:r w:rsidRPr="7C1732A9">
        <w:rPr>
          <w:rFonts w:ascii="Titillium Web" w:hAnsi="Titillium Web"/>
        </w:rPr>
        <w:t xml:space="preserve"> am 4.12. im Climate Lab wurde</w:t>
      </w:r>
      <w:r w:rsidR="00677459" w:rsidRPr="7C1732A9">
        <w:rPr>
          <w:rFonts w:ascii="Titillium Web" w:hAnsi="Titillium Web"/>
        </w:rPr>
        <w:t>n</w:t>
      </w:r>
      <w:r w:rsidRPr="7C1732A9">
        <w:rPr>
          <w:rFonts w:ascii="Titillium Web" w:hAnsi="Titillium Web"/>
        </w:rPr>
        <w:t xml:space="preserve"> gemeinsam mit der Wirtschaftsagentur, </w:t>
      </w:r>
      <w:r w:rsidR="00BC44DA" w:rsidRPr="7C1732A9">
        <w:rPr>
          <w:rFonts w:ascii="Titillium Web" w:hAnsi="Titillium Web"/>
        </w:rPr>
        <w:t xml:space="preserve">der </w:t>
      </w:r>
      <w:r w:rsidRPr="7C1732A9">
        <w:rPr>
          <w:rFonts w:ascii="Titillium Web" w:hAnsi="Titillium Web"/>
        </w:rPr>
        <w:t xml:space="preserve">Kammer der Ziviltechniker:innen Wien Niederösterreich Burgenland, </w:t>
      </w:r>
      <w:r w:rsidR="74328652" w:rsidRPr="7C1732A9">
        <w:rPr>
          <w:rFonts w:ascii="Titillium Web" w:hAnsi="Titillium Web"/>
        </w:rPr>
        <w:t xml:space="preserve">RENOWAVEA.T, </w:t>
      </w:r>
      <w:r w:rsidR="00DB4359" w:rsidRPr="7C1732A9">
        <w:rPr>
          <w:rFonts w:ascii="Titillium Web" w:hAnsi="Titillium Web"/>
        </w:rPr>
        <w:t xml:space="preserve">der </w:t>
      </w:r>
      <w:r w:rsidRPr="7C1732A9">
        <w:rPr>
          <w:rFonts w:ascii="Titillium Web" w:hAnsi="Titillium Web"/>
        </w:rPr>
        <w:t xml:space="preserve">ÖGLA </w:t>
      </w:r>
      <w:r w:rsidR="00574307" w:rsidRPr="7C1732A9">
        <w:rPr>
          <w:rFonts w:ascii="Titillium Web" w:hAnsi="Titillium Web"/>
        </w:rPr>
        <w:t>(</w:t>
      </w:r>
      <w:r w:rsidRPr="7C1732A9">
        <w:rPr>
          <w:rFonts w:ascii="Titillium Web" w:hAnsi="Titillium Web"/>
        </w:rPr>
        <w:t>Österreichische Gesellschaft für Landschaftsarchitektur bzw.</w:t>
      </w:r>
      <w:r w:rsidR="00DB4359" w:rsidRPr="7C1732A9">
        <w:rPr>
          <w:rFonts w:ascii="Titillium Web" w:hAnsi="Titillium Web"/>
        </w:rPr>
        <w:t xml:space="preserve"> </w:t>
      </w:r>
      <w:r w:rsidRPr="7C1732A9">
        <w:rPr>
          <w:rFonts w:ascii="Titillium Web" w:hAnsi="Titillium Web"/>
        </w:rPr>
        <w:t>HAUS DER LANDSCHAFT</w:t>
      </w:r>
      <w:r w:rsidR="00574307" w:rsidRPr="7C1732A9">
        <w:rPr>
          <w:rFonts w:ascii="Titillium Web" w:hAnsi="Titillium Web"/>
        </w:rPr>
        <w:t>)</w:t>
      </w:r>
      <w:r w:rsidR="00DB4359" w:rsidRPr="7C1732A9">
        <w:rPr>
          <w:rFonts w:ascii="Titillium Web" w:hAnsi="Titillium Web"/>
        </w:rPr>
        <w:t xml:space="preserve"> und </w:t>
      </w:r>
      <w:r w:rsidRPr="7C1732A9">
        <w:rPr>
          <w:rFonts w:ascii="Titillium Web" w:hAnsi="Titillium Web"/>
        </w:rPr>
        <w:t>GRÜNSTATTGRAU abgehalten und zeigen deutlich: K</w:t>
      </w:r>
      <w:r w:rsidR="0049415F" w:rsidRPr="7C1732A9">
        <w:rPr>
          <w:rFonts w:ascii="Titillium Web" w:hAnsi="Titillium Web"/>
        </w:rPr>
        <w:t>I</w:t>
      </w:r>
      <w:r w:rsidRPr="7C1732A9">
        <w:rPr>
          <w:rFonts w:ascii="Titillium Web" w:hAnsi="Titillium Web"/>
        </w:rPr>
        <w:t xml:space="preserve"> und moderne Visualisierungstechniken eröffnen völlig neue Entwicklungsmöglichkeiten. Sie sind nicht nur Werkzeuge zur Darstellung, sondern werden zu strategischen Motoren für Planung, Kommunikation und Umsetzung.</w:t>
      </w:r>
      <w:r w:rsidR="002A71C4" w:rsidRPr="7C1732A9">
        <w:rPr>
          <w:rFonts w:ascii="Titillium Web" w:hAnsi="Titillium Web"/>
        </w:rPr>
        <w:t xml:space="preserve"> </w:t>
      </w:r>
      <w:r w:rsidR="0049415F" w:rsidRPr="7C1732A9">
        <w:rPr>
          <w:rFonts w:ascii="Titillium Web" w:hAnsi="Titillium Web"/>
        </w:rPr>
        <w:t xml:space="preserve">Dennoch ist es wichtiger denn je, Personen darüber aufzuklären, welche </w:t>
      </w:r>
      <w:r w:rsidR="005D76C5" w:rsidRPr="7C1732A9">
        <w:rPr>
          <w:rFonts w:ascii="Titillium Web" w:hAnsi="Titillium Web"/>
        </w:rPr>
        <w:t>Visionen nun wirklich realistisch sind und – besonders in Bezug auf  Begrünung – welche Rahmenbedingungen</w:t>
      </w:r>
      <w:r w:rsidR="005A7815" w:rsidRPr="7C1732A9">
        <w:rPr>
          <w:rFonts w:ascii="Titillium Web" w:hAnsi="Titillium Web"/>
        </w:rPr>
        <w:t xml:space="preserve"> </w:t>
      </w:r>
      <w:r w:rsidR="004610A3" w:rsidRPr="7C1732A9">
        <w:rPr>
          <w:rFonts w:ascii="Titillium Web" w:hAnsi="Titillium Web"/>
        </w:rPr>
        <w:t>zu beachten sind</w:t>
      </w:r>
      <w:r w:rsidR="00B24833" w:rsidRPr="7C1732A9">
        <w:rPr>
          <w:rFonts w:ascii="Titillium Web" w:hAnsi="Titillium Web"/>
        </w:rPr>
        <w:t xml:space="preserve"> und welche Visionen sich wirklich umsetzen lassen.</w:t>
      </w:r>
    </w:p>
    <w:p w14:paraId="1AE8808D" w14:textId="415247BE" w:rsidR="00791FB0" w:rsidRPr="00791FB0" w:rsidRDefault="00791FB0" w:rsidP="00D50593">
      <w:pPr>
        <w:jc w:val="both"/>
        <w:rPr>
          <w:rFonts w:ascii="Titillium Web" w:hAnsi="Titillium Web"/>
        </w:rPr>
      </w:pPr>
      <w:r w:rsidRPr="00791FB0">
        <w:rPr>
          <w:rFonts w:ascii="Titillium Web" w:hAnsi="Titillium Web"/>
        </w:rPr>
        <w:t xml:space="preserve">Die </w:t>
      </w:r>
      <w:proofErr w:type="spellStart"/>
      <w:r w:rsidRPr="00791FB0">
        <w:rPr>
          <w:rFonts w:ascii="Titillium Web" w:hAnsi="Titillium Web"/>
        </w:rPr>
        <w:t>Expert:innen</w:t>
      </w:r>
      <w:proofErr w:type="spellEnd"/>
      <w:r w:rsidRPr="00791FB0">
        <w:rPr>
          <w:rFonts w:ascii="Titillium Web" w:hAnsi="Titillium Web"/>
        </w:rPr>
        <w:t xml:space="preserve"> aus Planung, Visualisierung und Forschung diskutierten darüber, wie Künstliche Intelligenz (KI) und moderne Bildtechnologien die Zukunft der </w:t>
      </w:r>
      <w:r w:rsidR="0042286D" w:rsidRPr="007F2FAB">
        <w:rPr>
          <w:rFonts w:ascii="Titillium Web" w:hAnsi="Titillium Web"/>
        </w:rPr>
        <w:t xml:space="preserve">Stadtplanung und </w:t>
      </w:r>
      <w:r w:rsidRPr="00791FB0">
        <w:rPr>
          <w:rFonts w:ascii="Titillium Web" w:hAnsi="Titillium Web"/>
        </w:rPr>
        <w:t>Gebäudesanierung verändern. Die Beiträge machten deutlich: Diese Werkzeuge schaffen nicht nur neue Möglichkeiten in der Darstellung, sondern können</w:t>
      </w:r>
      <w:r w:rsidR="0035584B" w:rsidRPr="007F2FAB">
        <w:rPr>
          <w:rFonts w:ascii="Titillium Web" w:hAnsi="Titillium Web"/>
        </w:rPr>
        <w:t>, wenn sie mit Bedacht eingesetzt werden,</w:t>
      </w:r>
      <w:r w:rsidRPr="00791FB0">
        <w:rPr>
          <w:rFonts w:ascii="Titillium Web" w:hAnsi="Titillium Web"/>
        </w:rPr>
        <w:t xml:space="preserve"> zum Motor für die Umsetzung im Gebäudebestand werden.</w:t>
      </w:r>
    </w:p>
    <w:p w14:paraId="649872D1" w14:textId="3E6E821F" w:rsidR="00791FB0" w:rsidRPr="007F2FAB" w:rsidRDefault="00791FB0" w:rsidP="00D50593">
      <w:pPr>
        <w:jc w:val="both"/>
        <w:rPr>
          <w:rFonts w:ascii="Titillium Web" w:hAnsi="Titillium Web"/>
        </w:rPr>
      </w:pPr>
      <w:r w:rsidRPr="00791FB0">
        <w:rPr>
          <w:rFonts w:ascii="Titillium Web" w:hAnsi="Titillium Web"/>
        </w:rPr>
        <w:t xml:space="preserve">Ein besonderer Fokus lag dabei auf dem Umgang mit dem § 85 der Wiener Bauordnung, der die formalen Anforderungen an Einreichunterlagen regelt und damit maßgeblich bestimmt, </w:t>
      </w:r>
      <w:r w:rsidR="009F51AE" w:rsidRPr="007F2FAB">
        <w:rPr>
          <w:rFonts w:ascii="Titillium Web" w:hAnsi="Titillium Web"/>
        </w:rPr>
        <w:t xml:space="preserve">wie Gebäude gestaltet sein müssen, damit sie das bestehende Stadtbild nicht beeinträchtigen. </w:t>
      </w:r>
      <w:r w:rsidRPr="00791FB0">
        <w:rPr>
          <w:rFonts w:ascii="Titillium Web" w:hAnsi="Titillium Web"/>
        </w:rPr>
        <w:t xml:space="preserve">Die vorgestellte Handreichung </w:t>
      </w:r>
      <w:r w:rsidR="00982B2E" w:rsidRPr="007F2FAB">
        <w:rPr>
          <w:rFonts w:ascii="Titillium Web" w:hAnsi="Titillium Web"/>
        </w:rPr>
        <w:t>soll</w:t>
      </w:r>
      <w:r w:rsidRPr="00791FB0">
        <w:rPr>
          <w:rFonts w:ascii="Titillium Web" w:hAnsi="Titillium Web"/>
        </w:rPr>
        <w:t xml:space="preserve"> </w:t>
      </w:r>
      <w:proofErr w:type="spellStart"/>
      <w:r w:rsidRPr="00791FB0">
        <w:rPr>
          <w:rFonts w:ascii="Titillium Web" w:hAnsi="Titillium Web"/>
        </w:rPr>
        <w:t>Planer:innen</w:t>
      </w:r>
      <w:proofErr w:type="spellEnd"/>
      <w:r w:rsidRPr="00791FB0">
        <w:rPr>
          <w:rFonts w:ascii="Titillium Web" w:hAnsi="Titillium Web"/>
        </w:rPr>
        <w:t xml:space="preserve">, </w:t>
      </w:r>
      <w:proofErr w:type="spellStart"/>
      <w:r w:rsidRPr="00791FB0">
        <w:rPr>
          <w:rFonts w:ascii="Titillium Web" w:hAnsi="Titillium Web"/>
        </w:rPr>
        <w:t>Eigentümer:innen</w:t>
      </w:r>
      <w:proofErr w:type="spellEnd"/>
      <w:r w:rsidRPr="00791FB0">
        <w:rPr>
          <w:rFonts w:ascii="Titillium Web" w:hAnsi="Titillium Web"/>
        </w:rPr>
        <w:t xml:space="preserve"> und Behörden unterstützen, </w:t>
      </w:r>
      <w:r w:rsidR="00982B2E" w:rsidRPr="007F2FAB">
        <w:rPr>
          <w:rFonts w:ascii="Titillium Web" w:hAnsi="Titillium Web"/>
        </w:rPr>
        <w:t xml:space="preserve">diese </w:t>
      </w:r>
      <w:r w:rsidR="004C6E7A" w:rsidRPr="007F2FAB">
        <w:rPr>
          <w:rFonts w:ascii="Titillium Web" w:hAnsi="Titillium Web"/>
        </w:rPr>
        <w:t>Anforderungen zu verstehen und anzuwenden</w:t>
      </w:r>
      <w:r w:rsidRPr="00791FB0">
        <w:rPr>
          <w:rFonts w:ascii="Titillium Web" w:hAnsi="Titillium Web"/>
        </w:rPr>
        <w:t>.</w:t>
      </w:r>
    </w:p>
    <w:p w14:paraId="23167C77" w14:textId="7D054E7A" w:rsidR="00791FB0" w:rsidRPr="00791FB0" w:rsidRDefault="0004362D" w:rsidP="00D50593">
      <w:pPr>
        <w:jc w:val="both"/>
        <w:rPr>
          <w:rFonts w:ascii="Titillium Web" w:hAnsi="Titillium Web"/>
        </w:rPr>
      </w:pPr>
      <w:r>
        <w:rPr>
          <w:rFonts w:ascii="Titillium Web" w:hAnsi="Titillium Web"/>
        </w:rPr>
        <w:t xml:space="preserve">Nach </w:t>
      </w:r>
      <w:r w:rsidR="00BD60B3">
        <w:rPr>
          <w:rFonts w:ascii="Titillium Web" w:hAnsi="Titillium Web"/>
        </w:rPr>
        <w:t>einer</w:t>
      </w:r>
      <w:r>
        <w:rPr>
          <w:rFonts w:ascii="Titillium Web" w:hAnsi="Titillium Web"/>
        </w:rPr>
        <w:t xml:space="preserve"> Begrüßung von Lukas Lengauer von der</w:t>
      </w:r>
      <w:r w:rsidR="00BD60B3">
        <w:rPr>
          <w:rFonts w:ascii="Titillium Web" w:hAnsi="Titillium Web"/>
        </w:rPr>
        <w:t xml:space="preserve"> Wirtschaftsagentur Wien </w:t>
      </w:r>
      <w:r w:rsidR="00611340">
        <w:rPr>
          <w:rFonts w:ascii="Titillium Web" w:hAnsi="Titillium Web"/>
        </w:rPr>
        <w:t xml:space="preserve">startete der Austausch. </w:t>
      </w:r>
      <w:r w:rsidR="007A1EFF">
        <w:rPr>
          <w:rFonts w:ascii="Titillium Web" w:hAnsi="Titillium Web"/>
        </w:rPr>
        <w:t>Moderiert wurde die</w:t>
      </w:r>
      <w:r w:rsidR="00791FB0" w:rsidRPr="00791FB0">
        <w:rPr>
          <w:rFonts w:ascii="Titillium Web" w:hAnsi="Titillium Web"/>
        </w:rPr>
        <w:t xml:space="preserve"> Diskussion von Susanne Formanek</w:t>
      </w:r>
      <w:r w:rsidR="007A1EFF">
        <w:rPr>
          <w:rFonts w:ascii="Titillium Web" w:hAnsi="Titillium Web"/>
        </w:rPr>
        <w:t xml:space="preserve"> (RENOWAVE.AT, GRÜNSTATTGRAU)</w:t>
      </w:r>
      <w:r w:rsidR="000C7DF8">
        <w:rPr>
          <w:rFonts w:ascii="Titillium Web" w:hAnsi="Titillium Web"/>
        </w:rPr>
        <w:t xml:space="preserve">, </w:t>
      </w:r>
      <w:r w:rsidR="00791FB0" w:rsidRPr="00791FB0">
        <w:rPr>
          <w:rFonts w:ascii="Titillium Web" w:hAnsi="Titillium Web"/>
        </w:rPr>
        <w:t>di</w:t>
      </w:r>
      <w:r w:rsidR="008069B5" w:rsidRPr="007F2FAB">
        <w:rPr>
          <w:rFonts w:ascii="Titillium Web" w:hAnsi="Titillium Web"/>
        </w:rPr>
        <w:t xml:space="preserve">e </w:t>
      </w:r>
      <w:proofErr w:type="spellStart"/>
      <w:r w:rsidR="008069B5" w:rsidRPr="007F2FAB">
        <w:rPr>
          <w:rFonts w:ascii="Titillium Web" w:hAnsi="Titillium Web"/>
        </w:rPr>
        <w:t>Teilnehmer:innen</w:t>
      </w:r>
      <w:proofErr w:type="spellEnd"/>
      <w:r w:rsidR="00117EFC">
        <w:rPr>
          <w:rFonts w:ascii="Titillium Web" w:hAnsi="Titillium Web"/>
        </w:rPr>
        <w:t xml:space="preserve"> gaben </w:t>
      </w:r>
      <w:r w:rsidR="0027240C">
        <w:rPr>
          <w:rFonts w:ascii="Titillium Web" w:hAnsi="Titillium Web"/>
        </w:rPr>
        <w:t>im Vorhinein folgende Impulse</w:t>
      </w:r>
      <w:r w:rsidR="00791FB0" w:rsidRPr="00791FB0">
        <w:rPr>
          <w:rFonts w:ascii="Titillium Web" w:hAnsi="Titillium Web"/>
        </w:rPr>
        <w:t>:</w:t>
      </w:r>
    </w:p>
    <w:p w14:paraId="30B1AC9C" w14:textId="3A66F002" w:rsidR="00791FB0" w:rsidRPr="00791FB0" w:rsidRDefault="00791FB0" w:rsidP="00D50593">
      <w:pPr>
        <w:numPr>
          <w:ilvl w:val="0"/>
          <w:numId w:val="1"/>
        </w:numPr>
        <w:jc w:val="both"/>
        <w:rPr>
          <w:rFonts w:ascii="Titillium Web" w:hAnsi="Titillium Web"/>
        </w:rPr>
      </w:pPr>
      <w:r w:rsidRPr="00791FB0">
        <w:rPr>
          <w:rFonts w:ascii="Titillium Web" w:hAnsi="Titillium Web"/>
        </w:rPr>
        <w:t>Erwin Zeisel</w:t>
      </w:r>
      <w:r w:rsidR="0027240C">
        <w:rPr>
          <w:rFonts w:ascii="Titillium Web" w:hAnsi="Titillium Web"/>
        </w:rPr>
        <w:t xml:space="preserve"> (</w:t>
      </w:r>
      <w:proofErr w:type="spellStart"/>
      <w:r w:rsidRPr="00791FB0">
        <w:rPr>
          <w:rFonts w:ascii="Titillium Web" w:hAnsi="Titillium Web"/>
        </w:rPr>
        <w:t>Rataplan</w:t>
      </w:r>
      <w:proofErr w:type="spellEnd"/>
      <w:r w:rsidR="0027240C">
        <w:rPr>
          <w:rFonts w:ascii="Titillium Web" w:hAnsi="Titillium Web"/>
        </w:rPr>
        <w:t>)</w:t>
      </w:r>
      <w:r w:rsidRPr="00791FB0">
        <w:rPr>
          <w:rFonts w:ascii="Titillium Web" w:hAnsi="Titillium Web"/>
        </w:rPr>
        <w:t>: „KI als Vermittler einer Vision und als Ideenfindung“</w:t>
      </w:r>
    </w:p>
    <w:p w14:paraId="2B37AC2C" w14:textId="7BDB8288" w:rsidR="00791FB0" w:rsidRPr="00791FB0" w:rsidRDefault="00791FB0" w:rsidP="00D50593">
      <w:pPr>
        <w:numPr>
          <w:ilvl w:val="0"/>
          <w:numId w:val="1"/>
        </w:numPr>
        <w:jc w:val="both"/>
        <w:rPr>
          <w:rFonts w:ascii="Titillium Web" w:hAnsi="Titillium Web"/>
        </w:rPr>
      </w:pPr>
      <w:bookmarkStart w:id="0" w:name="_Hlk215825198"/>
      <w:r w:rsidRPr="00791FB0">
        <w:rPr>
          <w:rFonts w:ascii="Titillium Web" w:hAnsi="Titillium Web"/>
        </w:rPr>
        <w:t xml:space="preserve">Bernhard </w:t>
      </w:r>
      <w:bookmarkEnd w:id="0"/>
      <w:r w:rsidRPr="00791FB0">
        <w:rPr>
          <w:rFonts w:ascii="Titillium Web" w:hAnsi="Titillium Web"/>
        </w:rPr>
        <w:t>Scharf</w:t>
      </w:r>
      <w:r w:rsidR="00A7606D">
        <w:rPr>
          <w:rFonts w:ascii="Titillium Web" w:hAnsi="Titillium Web"/>
        </w:rPr>
        <w:t xml:space="preserve"> (</w:t>
      </w:r>
      <w:r w:rsidRPr="00791FB0">
        <w:rPr>
          <w:rFonts w:ascii="Titillium Web" w:hAnsi="Titillium Web"/>
        </w:rPr>
        <w:t>Universität für Bodenkultur</w:t>
      </w:r>
      <w:r w:rsidR="00A7606D">
        <w:rPr>
          <w:rFonts w:ascii="Titillium Web" w:hAnsi="Titillium Web"/>
        </w:rPr>
        <w:t xml:space="preserve">, </w:t>
      </w:r>
      <w:proofErr w:type="spellStart"/>
      <w:r w:rsidRPr="00791FB0">
        <w:rPr>
          <w:rFonts w:ascii="Titillium Web" w:hAnsi="Titillium Web"/>
        </w:rPr>
        <w:t>GreenPass</w:t>
      </w:r>
      <w:proofErr w:type="spellEnd"/>
      <w:r w:rsidR="00A7606D">
        <w:rPr>
          <w:rFonts w:ascii="Titillium Web" w:hAnsi="Titillium Web"/>
        </w:rPr>
        <w:t>)</w:t>
      </w:r>
      <w:r w:rsidRPr="00791FB0">
        <w:rPr>
          <w:rFonts w:ascii="Titillium Web" w:hAnsi="Titillium Web"/>
        </w:rPr>
        <w:t>:  Was macht eine Stadt aus? Begrünungen als treibende Kraft“ — Rolle im Bereich Stadtgestaltung / Stadtentwicklung / Landschaft/Grün im städtischen Kontext.</w:t>
      </w:r>
    </w:p>
    <w:p w14:paraId="11D4E31D" w14:textId="639B42F2" w:rsidR="00791FB0" w:rsidRPr="00791FB0" w:rsidRDefault="00791FB0" w:rsidP="00D50593">
      <w:pPr>
        <w:numPr>
          <w:ilvl w:val="0"/>
          <w:numId w:val="1"/>
        </w:numPr>
        <w:jc w:val="both"/>
        <w:rPr>
          <w:rFonts w:ascii="Titillium Web" w:hAnsi="Titillium Web"/>
        </w:rPr>
      </w:pPr>
      <w:r w:rsidRPr="00791FB0">
        <w:rPr>
          <w:rFonts w:ascii="Titillium Web" w:hAnsi="Titillium Web"/>
        </w:rPr>
        <w:t xml:space="preserve">Erik </w:t>
      </w:r>
      <w:proofErr w:type="spellStart"/>
      <w:r w:rsidRPr="00791FB0">
        <w:rPr>
          <w:rFonts w:ascii="Titillium Web" w:hAnsi="Titillium Web"/>
        </w:rPr>
        <w:t>Meinharter</w:t>
      </w:r>
      <w:proofErr w:type="spellEnd"/>
      <w:r w:rsidR="00A7606D">
        <w:rPr>
          <w:rFonts w:ascii="Titillium Web" w:hAnsi="Titillium Web"/>
        </w:rPr>
        <w:t xml:space="preserve"> (</w:t>
      </w:r>
      <w:proofErr w:type="spellStart"/>
      <w:r w:rsidRPr="00791FB0">
        <w:rPr>
          <w:rFonts w:ascii="Titillium Web" w:hAnsi="Titillium Web"/>
        </w:rPr>
        <w:t>PlanSinn</w:t>
      </w:r>
      <w:proofErr w:type="spellEnd"/>
      <w:r w:rsidR="00A7606D">
        <w:rPr>
          <w:rFonts w:ascii="Titillium Web" w:hAnsi="Titillium Web"/>
        </w:rPr>
        <w:t>):</w:t>
      </w:r>
      <w:r w:rsidRPr="00791FB0">
        <w:rPr>
          <w:rFonts w:ascii="Titillium Web" w:hAnsi="Titillium Web"/>
        </w:rPr>
        <w:t xml:space="preserve"> Erfahrungsstatement; zudem Engagement bei ÖGLA / Haus der Landschaft, im Bereich Landschaftsarchitektur / Grünplanung.</w:t>
      </w:r>
    </w:p>
    <w:p w14:paraId="2F197BD2" w14:textId="00A87DFB" w:rsidR="00791FB0" w:rsidRPr="00791FB0" w:rsidRDefault="00791FB0" w:rsidP="00D50593">
      <w:pPr>
        <w:numPr>
          <w:ilvl w:val="0"/>
          <w:numId w:val="1"/>
        </w:numPr>
        <w:jc w:val="both"/>
        <w:rPr>
          <w:rFonts w:ascii="Titillium Web" w:hAnsi="Titillium Web"/>
        </w:rPr>
      </w:pPr>
      <w:r w:rsidRPr="00791FB0">
        <w:rPr>
          <w:rFonts w:ascii="Titillium Web" w:hAnsi="Titillium Web"/>
        </w:rPr>
        <w:t>Nina</w:t>
      </w:r>
      <w:r w:rsidR="005C569F">
        <w:rPr>
          <w:rFonts w:ascii="Titillium Web" w:hAnsi="Titillium Web"/>
        </w:rPr>
        <w:t xml:space="preserve"> </w:t>
      </w:r>
      <w:r w:rsidRPr="00791FB0">
        <w:rPr>
          <w:rFonts w:ascii="Titillium Web" w:hAnsi="Titillium Web"/>
        </w:rPr>
        <w:t>Zurek</w:t>
      </w:r>
      <w:r w:rsidR="00B253DC">
        <w:rPr>
          <w:rFonts w:ascii="Titillium Web" w:hAnsi="Titillium Web"/>
        </w:rPr>
        <w:t xml:space="preserve"> (</w:t>
      </w:r>
      <w:r w:rsidR="00B253DC" w:rsidRPr="00B253DC">
        <w:rPr>
          <w:rFonts w:ascii="Titillium Web" w:hAnsi="Titillium Web"/>
        </w:rPr>
        <w:t>HMA Architektur ZT GmbH</w:t>
      </w:r>
      <w:r w:rsidR="00B253DC">
        <w:rPr>
          <w:rFonts w:ascii="Titillium Web" w:hAnsi="Titillium Web"/>
        </w:rPr>
        <w:t>)</w:t>
      </w:r>
      <w:r w:rsidRPr="00791FB0">
        <w:rPr>
          <w:rFonts w:ascii="Titillium Web" w:hAnsi="Titillium Web"/>
        </w:rPr>
        <w:t xml:space="preserve"> und Stephan </w:t>
      </w:r>
      <w:proofErr w:type="spellStart"/>
      <w:r w:rsidRPr="00791FB0">
        <w:rPr>
          <w:rFonts w:ascii="Titillium Web" w:hAnsi="Titillium Web"/>
        </w:rPr>
        <w:t>S</w:t>
      </w:r>
      <w:r w:rsidR="003A18A1" w:rsidRPr="007F2FAB">
        <w:rPr>
          <w:rFonts w:ascii="Titillium Web" w:hAnsi="Titillium Web"/>
        </w:rPr>
        <w:t>obl</w:t>
      </w:r>
      <w:proofErr w:type="spellEnd"/>
      <w:r w:rsidR="00B253DC">
        <w:rPr>
          <w:rFonts w:ascii="Titillium Web" w:hAnsi="Titillium Web"/>
        </w:rPr>
        <w:t xml:space="preserve"> (</w:t>
      </w:r>
      <w:r w:rsidR="00B253DC" w:rsidRPr="00B253DC">
        <w:rPr>
          <w:rFonts w:ascii="Titillium Web" w:hAnsi="Titillium Web"/>
        </w:rPr>
        <w:t>CORE Studio ZT Gmb</w:t>
      </w:r>
      <w:r w:rsidR="00B253DC">
        <w:rPr>
          <w:rFonts w:ascii="Titillium Web" w:hAnsi="Titillium Web"/>
        </w:rPr>
        <w:t xml:space="preserve">H) </w:t>
      </w:r>
      <w:r w:rsidRPr="00791FB0">
        <w:rPr>
          <w:rFonts w:ascii="Titillium Web" w:hAnsi="Titillium Web"/>
        </w:rPr>
        <w:t xml:space="preserve">als </w:t>
      </w:r>
      <w:proofErr w:type="spellStart"/>
      <w:r w:rsidRPr="00791FB0">
        <w:rPr>
          <w:rFonts w:ascii="Titillium Web" w:hAnsi="Titillium Web"/>
        </w:rPr>
        <w:t>Vertreter:innen</w:t>
      </w:r>
      <w:proofErr w:type="spellEnd"/>
      <w:r w:rsidRPr="00791FB0">
        <w:rPr>
          <w:rFonts w:ascii="Titillium Web" w:hAnsi="Titillium Web"/>
        </w:rPr>
        <w:t xml:space="preserve"> </w:t>
      </w:r>
      <w:r w:rsidR="00325D80">
        <w:rPr>
          <w:rFonts w:ascii="Titillium Web" w:hAnsi="Titillium Web"/>
        </w:rPr>
        <w:t xml:space="preserve">der </w:t>
      </w:r>
      <w:r w:rsidR="00325D80" w:rsidRPr="00325D80">
        <w:rPr>
          <w:rFonts w:ascii="Titillium Web" w:hAnsi="Titillium Web"/>
        </w:rPr>
        <w:t xml:space="preserve">Kammer der </w:t>
      </w:r>
      <w:proofErr w:type="spellStart"/>
      <w:r w:rsidR="00325D80" w:rsidRPr="00325D80">
        <w:rPr>
          <w:rFonts w:ascii="Titillium Web" w:hAnsi="Titillium Web"/>
        </w:rPr>
        <w:t>Ziviltechniker:innen</w:t>
      </w:r>
      <w:proofErr w:type="spellEnd"/>
      <w:r w:rsidR="00325D80">
        <w:rPr>
          <w:rFonts w:ascii="Titillium Web" w:hAnsi="Titillium Web"/>
        </w:rPr>
        <w:t xml:space="preserve">, </w:t>
      </w:r>
      <w:proofErr w:type="spellStart"/>
      <w:r w:rsidR="00325D80" w:rsidRPr="00325D80">
        <w:rPr>
          <w:rFonts w:ascii="Titillium Web" w:hAnsi="Titillium Web"/>
        </w:rPr>
        <w:t>Architekt:innen</w:t>
      </w:r>
      <w:proofErr w:type="spellEnd"/>
      <w:r w:rsidR="00325D80" w:rsidRPr="00325D80">
        <w:rPr>
          <w:rFonts w:ascii="Titillium Web" w:hAnsi="Titillium Web"/>
        </w:rPr>
        <w:t xml:space="preserve"> und </w:t>
      </w:r>
      <w:proofErr w:type="spellStart"/>
      <w:r w:rsidR="00325D80" w:rsidRPr="00325D80">
        <w:rPr>
          <w:rFonts w:ascii="Titillium Web" w:hAnsi="Titillium Web"/>
        </w:rPr>
        <w:t>Ingenieur:innen</w:t>
      </w:r>
      <w:proofErr w:type="spellEnd"/>
      <w:r w:rsidR="00325D80" w:rsidRPr="00325D80">
        <w:rPr>
          <w:rFonts w:ascii="Titillium Web" w:hAnsi="Titillium Web"/>
        </w:rPr>
        <w:t xml:space="preserve"> Wien. Niederösterreich. </w:t>
      </w:r>
      <w:proofErr w:type="spellStart"/>
      <w:r w:rsidR="00325D80" w:rsidRPr="00325D80">
        <w:rPr>
          <w:rFonts w:ascii="Titillium Web" w:hAnsi="Titillium Web"/>
        </w:rPr>
        <w:t>Burgenland</w:t>
      </w:r>
      <w:r w:rsidR="00325D80">
        <w:rPr>
          <w:rFonts w:ascii="Titillium Web" w:hAnsi="Titillium Web"/>
        </w:rPr>
        <w:t>:</w:t>
      </w:r>
      <w:r w:rsidR="005C569F" w:rsidRPr="005C569F">
        <w:rPr>
          <w:rFonts w:ascii="Titillium Web" w:hAnsi="Titillium Web"/>
        </w:rPr>
        <w:t>Vom</w:t>
      </w:r>
      <w:proofErr w:type="spellEnd"/>
      <w:r w:rsidR="005C569F" w:rsidRPr="005C569F">
        <w:rPr>
          <w:rFonts w:ascii="Titillium Web" w:hAnsi="Titillium Web"/>
        </w:rPr>
        <w:t xml:space="preserve"> Plan zum Bild: Die Macht der Bilder im Wiener Bauverfahren §85 BO, Handreichung zur Anwendung von § 85 der Bauordnung für Wien</w:t>
      </w:r>
    </w:p>
    <w:p w14:paraId="7FAFE82C" w14:textId="31D48DC9" w:rsidR="00791FB0" w:rsidRPr="00791FB0" w:rsidRDefault="006B409E" w:rsidP="00D50593">
      <w:pPr>
        <w:jc w:val="both"/>
        <w:rPr>
          <w:rFonts w:ascii="Titillium Web" w:hAnsi="Titillium Web"/>
        </w:rPr>
      </w:pPr>
      <w:r>
        <w:rPr>
          <w:rFonts w:ascii="Titillium Web" w:hAnsi="Titillium Web"/>
          <w:noProof/>
        </w:rPr>
        <w:drawing>
          <wp:anchor distT="0" distB="0" distL="114300" distR="114300" simplePos="0" relativeHeight="251658240" behindDoc="0" locked="0" layoutInCell="1" allowOverlap="1" wp14:anchorId="5D20E3CE" wp14:editId="124F07A6">
            <wp:simplePos x="0" y="0"/>
            <wp:positionH relativeFrom="margin">
              <wp:posOffset>2948305</wp:posOffset>
            </wp:positionH>
            <wp:positionV relativeFrom="paragraph">
              <wp:posOffset>14605</wp:posOffset>
            </wp:positionV>
            <wp:extent cx="2667000" cy="2001723"/>
            <wp:effectExtent l="0" t="0" r="0" b="0"/>
            <wp:wrapNone/>
            <wp:docPr id="179882750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2174" cy="2005606"/>
                    </a:xfrm>
                    <a:prstGeom prst="rect">
                      <a:avLst/>
                    </a:prstGeom>
                    <a:noFill/>
                    <a:ln>
                      <a:noFill/>
                    </a:ln>
                  </pic:spPr>
                </pic:pic>
              </a:graphicData>
            </a:graphic>
            <wp14:sizeRelH relativeFrom="page">
              <wp14:pctWidth>0</wp14:pctWidth>
            </wp14:sizeRelH>
            <wp14:sizeRelV relativeFrom="page">
              <wp14:pctHeight>0</wp14:pctHeight>
            </wp14:sizeRelV>
          </wp:anchor>
        </w:drawing>
      </w:r>
      <w:r w:rsidR="0049638A">
        <w:rPr>
          <w:rFonts w:ascii="Titillium Web" w:hAnsi="Titillium Web"/>
          <w:noProof/>
        </w:rPr>
        <w:drawing>
          <wp:inline distT="0" distB="0" distL="0" distR="0" wp14:anchorId="59109BEA" wp14:editId="086E734C">
            <wp:extent cx="2713317" cy="2032000"/>
            <wp:effectExtent l="0" t="0" r="0" b="6350"/>
            <wp:docPr id="7026305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194" cy="2038648"/>
                    </a:xfrm>
                    <a:prstGeom prst="rect">
                      <a:avLst/>
                    </a:prstGeom>
                    <a:noFill/>
                    <a:ln>
                      <a:noFill/>
                    </a:ln>
                  </pic:spPr>
                </pic:pic>
              </a:graphicData>
            </a:graphic>
          </wp:inline>
        </w:drawing>
      </w:r>
    </w:p>
    <w:p w14:paraId="1A6AEBBA" w14:textId="77777777" w:rsidR="00791FB0" w:rsidRPr="00791FB0" w:rsidRDefault="00791FB0" w:rsidP="00D50593">
      <w:pPr>
        <w:jc w:val="both"/>
        <w:rPr>
          <w:rFonts w:ascii="Titillium Web" w:hAnsi="Titillium Web"/>
        </w:rPr>
      </w:pPr>
      <w:r w:rsidRPr="00791FB0">
        <w:rPr>
          <w:rFonts w:ascii="Titillium Web" w:hAnsi="Titillium Web"/>
        </w:rPr>
        <w:t>Der Zusammenhang zwischen Visualisierung, KI und Gebäudebegrünung wurde im Verlauf der Veranstaltung mehrfach deutlich herausgearbeitet. Dabei zeigte sich: Begrünung ist nicht nur ein architektonisches oder technisches Element, sondern steht exemplarisch für jene städtebaulichen Zukunftsbilder, deren Vermittlung ohne gute Visualisierungen kaum möglich wäre.</w:t>
      </w:r>
    </w:p>
    <w:p w14:paraId="02E1BEB1" w14:textId="24EBC8D5" w:rsidR="006B409E" w:rsidRPr="00791FB0" w:rsidRDefault="00791FB0" w:rsidP="00D50593">
      <w:pPr>
        <w:jc w:val="both"/>
        <w:rPr>
          <w:rFonts w:ascii="Titillium Web" w:hAnsi="Titillium Web"/>
        </w:rPr>
      </w:pPr>
      <w:r w:rsidRPr="00791FB0">
        <w:rPr>
          <w:rFonts w:ascii="Titillium Web" w:hAnsi="Titillium Web"/>
        </w:rPr>
        <w:t>Erwin Zeisel von RATAPLAN als Experte für 3D-Visualisierung und digitale Darstellung brachte neben klassische Architektur seine Kompetenzen i</w:t>
      </w:r>
      <w:r w:rsidR="004C6E7A" w:rsidRPr="007F2FAB">
        <w:rPr>
          <w:rFonts w:ascii="Titillium Web" w:hAnsi="Titillium Web"/>
        </w:rPr>
        <w:t>n</w:t>
      </w:r>
      <w:r w:rsidRPr="00791FB0">
        <w:rPr>
          <w:rFonts w:ascii="Titillium Web" w:hAnsi="Titillium Web"/>
        </w:rPr>
        <w:t xml:space="preserve"> 3D-Visualisierung, Rendering und Multimedia mit ein.  Dadurch kann er Entwürfe und Konzeptideen nicht nur plantechnisch, sondern auch visuell überzeugend darstellen</w:t>
      </w:r>
      <w:r w:rsidR="003C7413" w:rsidRPr="007F2FAB">
        <w:rPr>
          <w:rFonts w:ascii="Titillium Web" w:hAnsi="Titillium Web"/>
        </w:rPr>
        <w:t>.</w:t>
      </w:r>
      <w:r w:rsidR="005034F1" w:rsidRPr="007F2FAB">
        <w:rPr>
          <w:rFonts w:ascii="Titillium Web" w:hAnsi="Titillium Web"/>
        </w:rPr>
        <w:t xml:space="preserve"> Er erwähnte</w:t>
      </w:r>
      <w:r w:rsidR="003C7413" w:rsidRPr="007F2FAB">
        <w:rPr>
          <w:rFonts w:ascii="Titillium Web" w:hAnsi="Titillium Web"/>
        </w:rPr>
        <w:t xml:space="preserve"> </w:t>
      </w:r>
      <w:r w:rsidR="005034F1" w:rsidRPr="007F2FAB">
        <w:rPr>
          <w:rFonts w:ascii="Titillium Web" w:hAnsi="Titillium Web"/>
        </w:rPr>
        <w:t xml:space="preserve">„ein Bild sagt mehr als tausend Worte, aber es sei schwierig, die richtigen tausend Worte für den Prompt zu finden, um das Bild zu beschreiben. Es </w:t>
      </w:r>
      <w:r w:rsidR="00723293" w:rsidRPr="007F2FAB">
        <w:rPr>
          <w:rFonts w:ascii="Titillium Web" w:hAnsi="Titillium Web"/>
        </w:rPr>
        <w:t>ist</w:t>
      </w:r>
      <w:r w:rsidR="005034F1" w:rsidRPr="007F2FAB">
        <w:rPr>
          <w:rFonts w:ascii="Titillium Web" w:hAnsi="Titillium Web"/>
        </w:rPr>
        <w:t xml:space="preserve"> nicht leicht, das, was man wirklich will, so zu beschreiben, dass es auch als Output generiert wird.</w:t>
      </w:r>
      <w:r w:rsidR="00723293" w:rsidRPr="007F2FAB">
        <w:rPr>
          <w:rFonts w:ascii="Titillium Web" w:hAnsi="Titillium Web"/>
        </w:rPr>
        <w:t>“</w:t>
      </w:r>
    </w:p>
    <w:p w14:paraId="4B27C5A7" w14:textId="77777777" w:rsidR="00791FB0" w:rsidRPr="00791FB0" w:rsidRDefault="00791FB0" w:rsidP="00D50593">
      <w:pPr>
        <w:jc w:val="both"/>
        <w:rPr>
          <w:rFonts w:ascii="Titillium Web" w:hAnsi="Titillium Web"/>
        </w:rPr>
      </w:pPr>
      <w:r w:rsidRPr="00791FB0">
        <w:rPr>
          <w:rFonts w:ascii="Titillium Web" w:hAnsi="Titillium Web"/>
          <w:b/>
          <w:bCs/>
        </w:rPr>
        <w:t>Bilder als Schlüssel für Verständnis und Entscheidungsprozesse</w:t>
      </w:r>
    </w:p>
    <w:p w14:paraId="4FD684EA" w14:textId="79BEAE55" w:rsidR="00791FB0" w:rsidRPr="00791FB0" w:rsidRDefault="00791FB0" w:rsidP="00D50593">
      <w:pPr>
        <w:jc w:val="both"/>
        <w:rPr>
          <w:rFonts w:ascii="Titillium Web" w:hAnsi="Titillium Web"/>
        </w:rPr>
      </w:pPr>
      <w:r w:rsidRPr="00791FB0">
        <w:rPr>
          <w:rFonts w:ascii="Titillium Web" w:hAnsi="Titillium Web"/>
        </w:rPr>
        <w:t>Sanierung ist oft ein abstrakter, schwer greifbarer Prozess</w:t>
      </w:r>
      <w:r w:rsidR="008F1E0D" w:rsidRPr="007F2FAB">
        <w:rPr>
          <w:rFonts w:ascii="Titillium Web" w:hAnsi="Titillium Web"/>
        </w:rPr>
        <w:t xml:space="preserve"> - </w:t>
      </w:r>
      <w:r w:rsidRPr="00791FB0">
        <w:rPr>
          <w:rFonts w:ascii="Titillium Web" w:hAnsi="Titillium Web"/>
        </w:rPr>
        <w:t xml:space="preserve">besonders für </w:t>
      </w:r>
      <w:proofErr w:type="spellStart"/>
      <w:r w:rsidRPr="00791FB0">
        <w:rPr>
          <w:rFonts w:ascii="Titillium Web" w:hAnsi="Titillium Web"/>
        </w:rPr>
        <w:t>Eigentümer:innen</w:t>
      </w:r>
      <w:proofErr w:type="spellEnd"/>
      <w:r w:rsidRPr="00791FB0">
        <w:rPr>
          <w:rFonts w:ascii="Titillium Web" w:hAnsi="Titillium Web"/>
        </w:rPr>
        <w:t xml:space="preserve">. Die </w:t>
      </w:r>
      <w:proofErr w:type="spellStart"/>
      <w:r w:rsidRPr="00791FB0">
        <w:rPr>
          <w:rFonts w:ascii="Titillium Web" w:hAnsi="Titillium Web"/>
        </w:rPr>
        <w:t>Referent</w:t>
      </w:r>
      <w:r w:rsidR="00013EA4" w:rsidRPr="007F2FAB">
        <w:rPr>
          <w:rFonts w:ascii="Titillium Web" w:hAnsi="Titillium Web"/>
        </w:rPr>
        <w:t>:i</w:t>
      </w:r>
      <w:r w:rsidRPr="00791FB0">
        <w:rPr>
          <w:rFonts w:ascii="Titillium Web" w:hAnsi="Titillium Web"/>
        </w:rPr>
        <w:t>nnen</w:t>
      </w:r>
      <w:proofErr w:type="spellEnd"/>
      <w:r w:rsidRPr="00791FB0">
        <w:rPr>
          <w:rFonts w:ascii="Titillium Web" w:hAnsi="Titillium Web"/>
        </w:rPr>
        <w:t xml:space="preserve"> betonten daher die zentrale Rolle von Visualisierungen. „Unser Gehirn funktioniert in Bildern und deswegen sind gute Bilder wichtig“,</w:t>
      </w:r>
      <w:r w:rsidR="00013EA4" w:rsidRPr="007F2FAB">
        <w:rPr>
          <w:rFonts w:ascii="Titillium Web" w:hAnsi="Titillium Web"/>
        </w:rPr>
        <w:t xml:space="preserve"> </w:t>
      </w:r>
      <w:r w:rsidRPr="00791FB0">
        <w:rPr>
          <w:rFonts w:ascii="Titillium Web" w:hAnsi="Titillium Web"/>
        </w:rPr>
        <w:t>erklärte </w:t>
      </w:r>
      <w:r w:rsidRPr="00791FB0">
        <w:rPr>
          <w:rFonts w:ascii="Titillium Web" w:hAnsi="Titillium Web"/>
          <w:b/>
          <w:bCs/>
        </w:rPr>
        <w:t>Bernhard Scharf</w:t>
      </w:r>
      <w:r w:rsidRPr="00791FB0">
        <w:rPr>
          <w:rFonts w:ascii="Titillium Web" w:hAnsi="Titillium Web"/>
        </w:rPr>
        <w:t xml:space="preserve">. </w:t>
      </w:r>
      <w:r w:rsidR="00793E36" w:rsidRPr="007F2FAB">
        <w:rPr>
          <w:rFonts w:ascii="Titillium Web" w:hAnsi="Titillium Web"/>
        </w:rPr>
        <w:t>3D-</w:t>
      </w:r>
      <w:r w:rsidRPr="00791FB0">
        <w:rPr>
          <w:rFonts w:ascii="Titillium Web" w:hAnsi="Titillium Web"/>
        </w:rPr>
        <w:t>Darstellungen können komplexe Maßnahmen wie Fassadenbegrünung oder Umbauten verständlich machen und so Hemmschwellen senken. Sanierungs- und Begrünungsmaßnahmen im Bestand sind oft komplex, was zu Unsicherheiten bei Eigentümergemeinschaften und einer Vielzahl an Abstimmungsschritten führt. Visualisierungen helfen, diese Komplexität aufzubrechen.</w:t>
      </w:r>
    </w:p>
    <w:p w14:paraId="73B5D866" w14:textId="77777777" w:rsidR="00791FB0" w:rsidRPr="00791FB0" w:rsidRDefault="00791FB0" w:rsidP="00D50593">
      <w:pPr>
        <w:jc w:val="both"/>
        <w:rPr>
          <w:rFonts w:ascii="Titillium Web" w:hAnsi="Titillium Web"/>
        </w:rPr>
      </w:pPr>
      <w:r w:rsidRPr="00791FB0">
        <w:rPr>
          <w:rFonts w:ascii="Titillium Web" w:hAnsi="Titillium Web"/>
          <w:b/>
          <w:bCs/>
        </w:rPr>
        <w:t>Erwin Zeisel</w:t>
      </w:r>
      <w:r w:rsidRPr="00791FB0">
        <w:rPr>
          <w:rFonts w:ascii="Titillium Web" w:hAnsi="Titillium Web"/>
        </w:rPr>
        <w:t> unterstrich die Verantwortung, die mit solchen Bildern einhergeht: „Man gibt hier ein Versprechen ab. Es ist wichtig, sich dieser Verantwortung bewusst zu sein – auch als 3D-Visualisierer.“</w:t>
      </w:r>
    </w:p>
    <w:p w14:paraId="6C0C2C66" w14:textId="77B7AD6D" w:rsidR="00791FB0" w:rsidRPr="00791FB0" w:rsidRDefault="00791FB0" w:rsidP="00D50593">
      <w:pPr>
        <w:jc w:val="both"/>
        <w:rPr>
          <w:rFonts w:ascii="Titillium Web" w:hAnsi="Titillium Web"/>
        </w:rPr>
      </w:pPr>
      <w:r w:rsidRPr="00791FB0">
        <w:rPr>
          <w:rFonts w:ascii="Titillium Web" w:hAnsi="Titillium Web"/>
        </w:rPr>
        <w:t>Da KI-Bildgeneratoren heute leicht verfügbare Werkzeuge sind, entstehen immer häufiger Bilder, die zwar ästhetisch beeindrucken, aber nicht den realen technischen oder rechtlichen Rahmenbedingungen entsprechen.</w:t>
      </w:r>
    </w:p>
    <w:p w14:paraId="2A103320" w14:textId="77777777" w:rsidR="00791FB0" w:rsidRPr="00791FB0" w:rsidRDefault="00791FB0" w:rsidP="00D50593">
      <w:pPr>
        <w:jc w:val="both"/>
        <w:rPr>
          <w:rFonts w:ascii="Titillium Web" w:hAnsi="Titillium Web"/>
        </w:rPr>
      </w:pPr>
      <w:r w:rsidRPr="00791FB0">
        <w:rPr>
          <w:rFonts w:ascii="Titillium Web" w:hAnsi="Titillium Web"/>
          <w:b/>
          <w:bCs/>
        </w:rPr>
        <w:t>Mehr Realismus – weniger Enttäuschung</w:t>
      </w:r>
    </w:p>
    <w:p w14:paraId="325116BE" w14:textId="4E83D7B9" w:rsidR="00156A69" w:rsidRPr="00791FB0" w:rsidRDefault="00791FB0" w:rsidP="00D50593">
      <w:pPr>
        <w:jc w:val="both"/>
        <w:rPr>
          <w:rFonts w:ascii="Titillium Web" w:hAnsi="Titillium Web"/>
        </w:rPr>
      </w:pPr>
      <w:r w:rsidRPr="00791FB0">
        <w:rPr>
          <w:rFonts w:ascii="Titillium Web" w:hAnsi="Titillium Web"/>
        </w:rPr>
        <w:t xml:space="preserve">Ein zentrales Risiko besteht laut den </w:t>
      </w:r>
      <w:proofErr w:type="spellStart"/>
      <w:r w:rsidRPr="00791FB0">
        <w:rPr>
          <w:rFonts w:ascii="Titillium Web" w:hAnsi="Titillium Web"/>
        </w:rPr>
        <w:t>Expert:innen</w:t>
      </w:r>
      <w:proofErr w:type="spellEnd"/>
      <w:r w:rsidRPr="00791FB0">
        <w:rPr>
          <w:rFonts w:ascii="Titillium Web" w:hAnsi="Titillium Web"/>
        </w:rPr>
        <w:t xml:space="preserve"> darin, dass KI-Bilder zu idealisierte Ästhetiken erzeugen, die später nicht realisierbar sind. „Probleme entstehen dann, wenn Bilder Erwartungshaltungen generieren, die nachher unerfüllbar sind“, warnte </w:t>
      </w:r>
      <w:r w:rsidRPr="00791FB0">
        <w:rPr>
          <w:rFonts w:ascii="Titillium Web" w:hAnsi="Titillium Web"/>
          <w:b/>
          <w:bCs/>
        </w:rPr>
        <w:t>Eri</w:t>
      </w:r>
      <w:r w:rsidR="002C419F" w:rsidRPr="007F2FAB">
        <w:rPr>
          <w:rFonts w:ascii="Titillium Web" w:hAnsi="Titillium Web"/>
          <w:b/>
          <w:bCs/>
        </w:rPr>
        <w:t>k</w:t>
      </w:r>
      <w:r w:rsidRPr="00791FB0">
        <w:rPr>
          <w:rFonts w:ascii="Titillium Web" w:hAnsi="Titillium Web"/>
          <w:b/>
          <w:bCs/>
        </w:rPr>
        <w:t xml:space="preserve"> </w:t>
      </w:r>
      <w:proofErr w:type="spellStart"/>
      <w:r w:rsidRPr="00791FB0">
        <w:rPr>
          <w:rFonts w:ascii="Titillium Web" w:hAnsi="Titillium Web"/>
          <w:b/>
          <w:bCs/>
        </w:rPr>
        <w:t>Meinharter</w:t>
      </w:r>
      <w:proofErr w:type="spellEnd"/>
      <w:r w:rsidRPr="00791FB0">
        <w:rPr>
          <w:rFonts w:ascii="Titillium Web" w:hAnsi="Titillium Web"/>
        </w:rPr>
        <w:t>.</w:t>
      </w:r>
      <w:r w:rsidR="002C419F" w:rsidRPr="007F2FAB">
        <w:rPr>
          <w:rFonts w:ascii="Titillium Web" w:hAnsi="Titillium Web"/>
        </w:rPr>
        <w:t xml:space="preserve"> </w:t>
      </w:r>
      <w:r w:rsidRPr="00791FB0">
        <w:rPr>
          <w:rFonts w:ascii="Titillium Web" w:hAnsi="Titillium Web"/>
        </w:rPr>
        <w:t>Damit Visualisierung ein</w:t>
      </w:r>
      <w:r w:rsidR="00156A69" w:rsidRPr="007F2FAB">
        <w:rPr>
          <w:rFonts w:ascii="Titillium Web" w:hAnsi="Titillium Web"/>
        </w:rPr>
        <w:t xml:space="preserve"> hilfreiches</w:t>
      </w:r>
      <w:r w:rsidRPr="00791FB0">
        <w:rPr>
          <w:rFonts w:ascii="Titillium Web" w:hAnsi="Titillium Web"/>
        </w:rPr>
        <w:t xml:space="preserve"> Werkzeug bleibt und nicht zur Quelle von Frustration wird, brauche es klare Kommunikation, Transparenz und realistische Darstellungen.</w:t>
      </w:r>
    </w:p>
    <w:p w14:paraId="71E674C8" w14:textId="5273BC7D" w:rsidR="00791FB0" w:rsidRPr="00791FB0" w:rsidRDefault="00791FB0" w:rsidP="00D50593">
      <w:pPr>
        <w:jc w:val="both"/>
        <w:rPr>
          <w:rFonts w:ascii="Titillium Web" w:hAnsi="Titillium Web"/>
        </w:rPr>
      </w:pPr>
      <w:r w:rsidRPr="00791FB0">
        <w:rPr>
          <w:rFonts w:ascii="Titillium Web" w:hAnsi="Titillium Web"/>
        </w:rPr>
        <w:t xml:space="preserve">Da </w:t>
      </w:r>
      <w:r w:rsidR="00DA4841" w:rsidRPr="007F2FAB">
        <w:rPr>
          <w:rFonts w:ascii="Titillium Web" w:hAnsi="Titillium Web"/>
        </w:rPr>
        <w:t>KI</w:t>
      </w:r>
      <w:r w:rsidRPr="00791FB0">
        <w:rPr>
          <w:rFonts w:ascii="Titillium Web" w:hAnsi="Titillium Web"/>
        </w:rPr>
        <w:t xml:space="preserve"> komplexe, regelbasierte Aufgaben beherrscht, kann sie </w:t>
      </w:r>
      <w:r w:rsidR="00DA4841" w:rsidRPr="007F2FAB">
        <w:rPr>
          <w:rFonts w:ascii="Titillium Web" w:hAnsi="Titillium Web"/>
        </w:rPr>
        <w:t>aber beisp</w:t>
      </w:r>
      <w:r w:rsidR="00723293" w:rsidRPr="007F2FAB">
        <w:rPr>
          <w:rFonts w:ascii="Titillium Web" w:hAnsi="Titillium Web"/>
        </w:rPr>
        <w:t>i</w:t>
      </w:r>
      <w:r w:rsidR="00DA4841" w:rsidRPr="007F2FAB">
        <w:rPr>
          <w:rFonts w:ascii="Titillium Web" w:hAnsi="Titillium Web"/>
        </w:rPr>
        <w:t xml:space="preserve">elsweise </w:t>
      </w:r>
      <w:r w:rsidRPr="00791FB0">
        <w:rPr>
          <w:rFonts w:ascii="Titillium Web" w:hAnsi="Titillium Web"/>
        </w:rPr>
        <w:t>bereits in frühen Projektphasen Normen prüfen, Varianten vergleichen und technische Machbarkeit klären.</w:t>
      </w:r>
      <w:r w:rsidR="00DA4841" w:rsidRPr="007F2FAB">
        <w:rPr>
          <w:rFonts w:ascii="Titillium Web" w:hAnsi="Titillium Web"/>
        </w:rPr>
        <w:t xml:space="preserve"> </w:t>
      </w:r>
      <w:r w:rsidRPr="00791FB0">
        <w:rPr>
          <w:rFonts w:ascii="Titillium Web" w:hAnsi="Titillium Web"/>
        </w:rPr>
        <w:t>Dies beschleunigt nicht nur Sanierungsprozesse, sondern macht sie für Eigentümergemeinschaften nachvollziehbarer und kalkulierbarer.</w:t>
      </w:r>
    </w:p>
    <w:p w14:paraId="64B86D89" w14:textId="77777777" w:rsidR="006B409E" w:rsidRDefault="006B409E" w:rsidP="00D50593">
      <w:pPr>
        <w:jc w:val="both"/>
        <w:rPr>
          <w:rFonts w:ascii="Titillium Web" w:hAnsi="Titillium Web"/>
          <w:b/>
          <w:bCs/>
        </w:rPr>
      </w:pPr>
    </w:p>
    <w:p w14:paraId="311B07A5" w14:textId="04845B8A" w:rsidR="00791FB0" w:rsidRPr="00791FB0" w:rsidRDefault="00791FB0" w:rsidP="00D50593">
      <w:pPr>
        <w:jc w:val="both"/>
        <w:rPr>
          <w:rFonts w:ascii="Titillium Web" w:hAnsi="Titillium Web"/>
        </w:rPr>
      </w:pPr>
      <w:r w:rsidRPr="00791FB0">
        <w:rPr>
          <w:rFonts w:ascii="Titillium Web" w:hAnsi="Titillium Web"/>
          <w:b/>
          <w:bCs/>
        </w:rPr>
        <w:t xml:space="preserve">Orientierung im Spannungsfeld zwischen Vision und Bauordnung </w:t>
      </w:r>
    </w:p>
    <w:p w14:paraId="1AF960E4" w14:textId="3431E84A" w:rsidR="009745C1" w:rsidRPr="00791FB0" w:rsidRDefault="00791FB0" w:rsidP="00D50593">
      <w:pPr>
        <w:jc w:val="both"/>
        <w:rPr>
          <w:rFonts w:ascii="Titillium Web" w:hAnsi="Titillium Web"/>
        </w:rPr>
      </w:pPr>
      <w:r w:rsidRPr="00791FB0">
        <w:rPr>
          <w:rFonts w:ascii="Titillium Web" w:hAnsi="Titillium Web"/>
        </w:rPr>
        <w:t>Sanierungsprozesse bewegen sich stets in einem Spannungsfeld zwischen innovativen Ideen und formalen Anforderungen. Die Handreichung und der Umgang mit dem § 85 der Wiener Bauordnung hilft, dieses Spannungsfeld zu navigieren, indem sie beschreibt,</w:t>
      </w:r>
      <w:r w:rsidR="00061E34" w:rsidRPr="007F2FAB">
        <w:rPr>
          <w:rFonts w:ascii="Titillium Web" w:hAnsi="Titillium Web"/>
        </w:rPr>
        <w:t xml:space="preserve"> </w:t>
      </w:r>
      <w:r w:rsidRPr="00791FB0">
        <w:rPr>
          <w:rFonts w:ascii="Titillium Web" w:hAnsi="Titillium Web"/>
        </w:rPr>
        <w:t xml:space="preserve">welche </w:t>
      </w:r>
      <w:r w:rsidR="0012642E" w:rsidRPr="007F2FAB">
        <w:rPr>
          <w:rFonts w:ascii="Titillium Web" w:hAnsi="Titillium Web"/>
        </w:rPr>
        <w:t>Projekte</w:t>
      </w:r>
      <w:r w:rsidRPr="00791FB0">
        <w:rPr>
          <w:rFonts w:ascii="Titillium Web" w:hAnsi="Titillium Web"/>
        </w:rPr>
        <w:t> </w:t>
      </w:r>
      <w:r w:rsidRPr="00791FB0">
        <w:rPr>
          <w:rFonts w:ascii="Titillium Web" w:hAnsi="Titillium Web"/>
          <w:b/>
          <w:bCs/>
        </w:rPr>
        <w:t>einreichfähig</w:t>
      </w:r>
      <w:r w:rsidRPr="00791FB0">
        <w:rPr>
          <w:rFonts w:ascii="Titillium Web" w:hAnsi="Titillium Web"/>
        </w:rPr>
        <w:t> sind</w:t>
      </w:r>
      <w:r w:rsidR="000C03DE" w:rsidRPr="007F2FAB">
        <w:rPr>
          <w:rFonts w:ascii="Titillium Web" w:hAnsi="Titillium Web"/>
        </w:rPr>
        <w:t xml:space="preserve"> </w:t>
      </w:r>
      <w:r w:rsidRPr="00791FB0">
        <w:rPr>
          <w:rFonts w:ascii="Titillium Web" w:hAnsi="Titillium Web"/>
        </w:rPr>
        <w:t>und wie Planende sicherstellen können, dass ihre Unterlagen dem § 85 BO Wien entsprechen.</w:t>
      </w:r>
      <w:r w:rsidR="000C03DE" w:rsidRPr="007F2FAB">
        <w:rPr>
          <w:rFonts w:ascii="Titillium Web" w:hAnsi="Titillium Web"/>
        </w:rPr>
        <w:t xml:space="preserve"> </w:t>
      </w:r>
      <w:r w:rsidRPr="00791FB0">
        <w:rPr>
          <w:rFonts w:ascii="Titillium Web" w:hAnsi="Titillium Web"/>
        </w:rPr>
        <w:t>Damit unterstützt sie nicht nur Planungsbüros, sondern auch Behörden, die so einheitlichere und klarere Unterlagen erhalten.</w:t>
      </w:r>
      <w:r w:rsidR="000C03DE" w:rsidRPr="007F2FAB">
        <w:rPr>
          <w:rFonts w:ascii="Titillium Web" w:hAnsi="Titillium Web"/>
        </w:rPr>
        <w:t xml:space="preserve"> </w:t>
      </w:r>
      <w:r w:rsidRPr="00791FB0">
        <w:rPr>
          <w:rFonts w:ascii="Titillium Web" w:hAnsi="Titillium Web"/>
          <w:b/>
          <w:bCs/>
        </w:rPr>
        <w:t xml:space="preserve">Stefan </w:t>
      </w:r>
      <w:proofErr w:type="spellStart"/>
      <w:r w:rsidR="007724D4" w:rsidRPr="007F2FAB">
        <w:rPr>
          <w:rFonts w:ascii="Titillium Web" w:hAnsi="Titillium Web"/>
          <w:b/>
          <w:bCs/>
        </w:rPr>
        <w:t>Sobl</w:t>
      </w:r>
      <w:proofErr w:type="spellEnd"/>
      <w:r w:rsidRPr="00791FB0">
        <w:rPr>
          <w:rFonts w:ascii="Titillium Web" w:hAnsi="Titillium Web"/>
        </w:rPr>
        <w:t xml:space="preserve"> brachte es auf den Punkt: „Der Inhalt ist unsere Aufgabe. Den dürfen wir nicht aus der Hand geben.“ </w:t>
      </w:r>
    </w:p>
    <w:p w14:paraId="75295E45" w14:textId="243A8405" w:rsidR="00791FB0" w:rsidRPr="00791FB0" w:rsidRDefault="00791FB0" w:rsidP="00D50593">
      <w:pPr>
        <w:jc w:val="both"/>
        <w:rPr>
          <w:rFonts w:ascii="Titillium Web" w:hAnsi="Titillium Web"/>
        </w:rPr>
      </w:pPr>
      <w:r w:rsidRPr="00791FB0">
        <w:rPr>
          <w:rFonts w:ascii="Titillium Web" w:hAnsi="Titillium Web"/>
          <w:b/>
          <w:bCs/>
        </w:rPr>
        <w:t>Partizipation als Schlüsselfaktor der Zukunft</w:t>
      </w:r>
    </w:p>
    <w:p w14:paraId="1368114D" w14:textId="002B8C82" w:rsidR="00791FB0" w:rsidRPr="00791FB0" w:rsidRDefault="00791FB0" w:rsidP="00D50593">
      <w:pPr>
        <w:jc w:val="both"/>
        <w:rPr>
          <w:rFonts w:ascii="Titillium Web" w:hAnsi="Titillium Web"/>
        </w:rPr>
      </w:pPr>
      <w:r w:rsidRPr="00791FB0">
        <w:rPr>
          <w:rFonts w:ascii="Titillium Web" w:hAnsi="Titillium Web"/>
        </w:rPr>
        <w:t>Erfolgreiche Sanierung entsteht nicht im technischen Raum, sondern im sozialen. Beteiligungsprozesse müssen früh, transparent und verständlich gestaltet sein. Visualisierungen können Brücken bauen – aber nur, wenn sie die richtigen Erwartungen setzen.</w:t>
      </w:r>
      <w:r w:rsidR="009745C1" w:rsidRPr="007F2FAB">
        <w:rPr>
          <w:rFonts w:ascii="Titillium Web" w:hAnsi="Titillium Web"/>
        </w:rPr>
        <w:t xml:space="preserve"> </w:t>
      </w:r>
      <w:r w:rsidRPr="00791FB0">
        <w:rPr>
          <w:rFonts w:ascii="Titillium Web" w:hAnsi="Titillium Web"/>
        </w:rPr>
        <w:t xml:space="preserve">KI könne unterstützen, aber nicht entscheiden. Die Verantwortung für de facto umsetzbare Lösungen </w:t>
      </w:r>
      <w:r w:rsidR="00C53436" w:rsidRPr="007F2FAB">
        <w:rPr>
          <w:rFonts w:ascii="Titillium Web" w:hAnsi="Titillium Web"/>
        </w:rPr>
        <w:t>muss</w:t>
      </w:r>
      <w:r w:rsidRPr="00791FB0">
        <w:rPr>
          <w:rFonts w:ascii="Titillium Web" w:hAnsi="Titillium Web"/>
        </w:rPr>
        <w:t xml:space="preserve"> weiterhin bei den Planenden</w:t>
      </w:r>
      <w:r w:rsidR="00C53436" w:rsidRPr="007F2FAB">
        <w:rPr>
          <w:rFonts w:ascii="Titillium Web" w:hAnsi="Titillium Web"/>
        </w:rPr>
        <w:t xml:space="preserve"> liegen</w:t>
      </w:r>
      <w:r w:rsidRPr="00791FB0">
        <w:rPr>
          <w:rFonts w:ascii="Titillium Web" w:hAnsi="Titillium Web"/>
        </w:rPr>
        <w:t>.</w:t>
      </w:r>
    </w:p>
    <w:p w14:paraId="7FC304B4" w14:textId="06355A3C" w:rsidR="00791FB0" w:rsidRPr="00791FB0" w:rsidRDefault="00791FB0" w:rsidP="00D50593">
      <w:pPr>
        <w:jc w:val="both"/>
        <w:rPr>
          <w:rFonts w:ascii="Titillium Web" w:hAnsi="Titillium Web"/>
        </w:rPr>
      </w:pPr>
      <w:r w:rsidRPr="00791FB0">
        <w:rPr>
          <w:rFonts w:ascii="Titillium Web" w:hAnsi="Titillium Web"/>
        </w:rPr>
        <w:t xml:space="preserve">Die </w:t>
      </w:r>
      <w:proofErr w:type="spellStart"/>
      <w:r w:rsidRPr="00791FB0">
        <w:rPr>
          <w:rFonts w:ascii="Titillium Web" w:hAnsi="Titillium Web"/>
        </w:rPr>
        <w:t>Expert:innen</w:t>
      </w:r>
      <w:proofErr w:type="spellEnd"/>
      <w:r w:rsidRPr="00791FB0">
        <w:rPr>
          <w:rFonts w:ascii="Titillium Web" w:hAnsi="Titillium Web"/>
        </w:rPr>
        <w:t xml:space="preserve"> sehen große Chancen darin, digitale Werkzeuge weiterzuentwickeln, die technische, gesetzliche und wirtschaftliche Informationen bündeln. Plattformen, die </w:t>
      </w:r>
      <w:proofErr w:type="spellStart"/>
      <w:r w:rsidRPr="00791FB0">
        <w:rPr>
          <w:rFonts w:ascii="Titillium Web" w:hAnsi="Titillium Web"/>
        </w:rPr>
        <w:t>Eigentümer:innen</w:t>
      </w:r>
      <w:proofErr w:type="spellEnd"/>
      <w:r w:rsidRPr="00791FB0">
        <w:rPr>
          <w:rFonts w:ascii="Titillium Web" w:hAnsi="Titillium Web"/>
        </w:rPr>
        <w:t xml:space="preserve"> Schritt für Schritt durch Sanierungsprozesse führen, könnten ein entscheidender Hebel sein – gerade im Hinblick auf Klimaziele und die Modernisierung großer Bestände.</w:t>
      </w:r>
    </w:p>
    <w:p w14:paraId="77987CE0" w14:textId="47D3648C" w:rsidR="00791FB0" w:rsidRPr="00791FB0" w:rsidRDefault="00DE4182" w:rsidP="00D50593">
      <w:pPr>
        <w:jc w:val="both"/>
        <w:rPr>
          <w:rFonts w:ascii="Titillium Web" w:hAnsi="Titillium Web"/>
        </w:rPr>
      </w:pPr>
      <w:r>
        <w:rPr>
          <w:rFonts w:ascii="Titillium Web" w:hAnsi="Titillium Web"/>
          <w:noProof/>
        </w:rPr>
        <w:drawing>
          <wp:anchor distT="0" distB="0" distL="114300" distR="114300" simplePos="0" relativeHeight="251658241" behindDoc="0" locked="0" layoutInCell="1" allowOverlap="1" wp14:anchorId="22CCD2C0" wp14:editId="32B212DB">
            <wp:simplePos x="0" y="0"/>
            <wp:positionH relativeFrom="margin">
              <wp:posOffset>3024505</wp:posOffset>
            </wp:positionH>
            <wp:positionV relativeFrom="paragraph">
              <wp:posOffset>18416</wp:posOffset>
            </wp:positionV>
            <wp:extent cx="2812251" cy="2110740"/>
            <wp:effectExtent l="0" t="0" r="7620" b="3810"/>
            <wp:wrapNone/>
            <wp:docPr id="188389874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397" cy="2115353"/>
                    </a:xfrm>
                    <a:prstGeom prst="rect">
                      <a:avLst/>
                    </a:prstGeom>
                    <a:noFill/>
                    <a:ln>
                      <a:noFill/>
                    </a:ln>
                  </pic:spPr>
                </pic:pic>
              </a:graphicData>
            </a:graphic>
            <wp14:sizeRelH relativeFrom="page">
              <wp14:pctWidth>0</wp14:pctWidth>
            </wp14:sizeRelH>
            <wp14:sizeRelV relativeFrom="page">
              <wp14:pctHeight>0</wp14:pctHeight>
            </wp14:sizeRelV>
          </wp:anchor>
        </w:drawing>
      </w:r>
      <w:r w:rsidR="008B7A40">
        <w:rPr>
          <w:rFonts w:ascii="Titillium Web" w:hAnsi="Titillium Web"/>
          <w:noProof/>
        </w:rPr>
        <w:drawing>
          <wp:inline distT="0" distB="0" distL="0" distR="0" wp14:anchorId="4B27EF21" wp14:editId="47F8E691">
            <wp:extent cx="2835418" cy="2123440"/>
            <wp:effectExtent l="0" t="0" r="3175" b="0"/>
            <wp:docPr id="5032823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605" cy="2140056"/>
                    </a:xfrm>
                    <a:prstGeom prst="rect">
                      <a:avLst/>
                    </a:prstGeom>
                    <a:noFill/>
                    <a:ln>
                      <a:noFill/>
                    </a:ln>
                  </pic:spPr>
                </pic:pic>
              </a:graphicData>
            </a:graphic>
          </wp:inline>
        </w:drawing>
      </w:r>
    </w:p>
    <w:p w14:paraId="2FFB9796" w14:textId="77777777" w:rsidR="00791FB0" w:rsidRPr="00791FB0" w:rsidRDefault="00791FB0" w:rsidP="00D50593">
      <w:pPr>
        <w:jc w:val="both"/>
        <w:rPr>
          <w:rFonts w:ascii="Titillium Web" w:hAnsi="Titillium Web"/>
        </w:rPr>
      </w:pPr>
      <w:r w:rsidRPr="00791FB0">
        <w:rPr>
          <w:rFonts w:ascii="Titillium Web" w:hAnsi="Titillium Web"/>
          <w:b/>
          <w:bCs/>
        </w:rPr>
        <w:t>Begrünung als zentrales Beispiel für „nicht Vorstellbares</w:t>
      </w:r>
      <w:r w:rsidRPr="00791FB0">
        <w:rPr>
          <w:rFonts w:ascii="Titillium Web" w:hAnsi="Titillium Web"/>
        </w:rPr>
        <w:t>“</w:t>
      </w:r>
    </w:p>
    <w:p w14:paraId="7D692B46" w14:textId="77777777" w:rsidR="00BD0ABB" w:rsidRPr="00791FB0" w:rsidRDefault="00791FB0" w:rsidP="00BD0ABB">
      <w:pPr>
        <w:jc w:val="both"/>
        <w:rPr>
          <w:rFonts w:ascii="Titillium Web" w:hAnsi="Titillium Web"/>
        </w:rPr>
      </w:pPr>
      <w:r w:rsidRPr="00791FB0">
        <w:rPr>
          <w:rFonts w:ascii="Titillium Web" w:hAnsi="Titillium Web"/>
        </w:rPr>
        <w:t xml:space="preserve">Begrünung spiegelt das Dilemma von ambitionierten Zukunftsbildern und normativen Zwängen (z. B. § 85 BO Wien) wider und wurde deshalb als exemplarisches Thema gewählt. Die </w:t>
      </w:r>
      <w:proofErr w:type="spellStart"/>
      <w:r w:rsidRPr="00791FB0">
        <w:rPr>
          <w:rFonts w:ascii="Titillium Web" w:hAnsi="Titillium Web"/>
        </w:rPr>
        <w:t>Expert:innen</w:t>
      </w:r>
      <w:proofErr w:type="spellEnd"/>
      <w:r w:rsidRPr="00791FB0">
        <w:rPr>
          <w:rFonts w:ascii="Titillium Web" w:hAnsi="Titillium Web"/>
        </w:rPr>
        <w:t xml:space="preserve"> betonten, dass Gebäudebegrünung häufig an einer grundlegenden Kommunikationshürde scheitert: Viele Menschen können sich nicht vorstellen, wie eine begrünte Fassade, ein schattiger Innenhof oder ein bepflanztes Dach im realen Raum wirken würden.</w:t>
      </w:r>
      <w:r w:rsidR="00BD0ABB" w:rsidRPr="007F2FAB">
        <w:rPr>
          <w:rFonts w:ascii="Titillium Web" w:hAnsi="Titillium Web"/>
        </w:rPr>
        <w:t xml:space="preserve"> </w:t>
      </w:r>
      <w:r w:rsidR="00BD0ABB" w:rsidRPr="00791FB0">
        <w:rPr>
          <w:rFonts w:ascii="Titillium Web" w:hAnsi="Titillium Web"/>
        </w:rPr>
        <w:t>Visualisierungen dienen hier als Schlüssel, um abstrakte ökologische Maßnahmen emotional wie räumlich begreifbar zu machen.</w:t>
      </w:r>
    </w:p>
    <w:p w14:paraId="61F312DB" w14:textId="397BA42B" w:rsidR="00791FB0" w:rsidRPr="00791FB0" w:rsidRDefault="00CA1B7C" w:rsidP="00D50593">
      <w:pPr>
        <w:jc w:val="both"/>
        <w:rPr>
          <w:rFonts w:ascii="Titillium Web" w:hAnsi="Titillium Web"/>
        </w:rPr>
      </w:pPr>
      <w:r w:rsidRPr="007F2FAB">
        <w:rPr>
          <w:rFonts w:ascii="Titillium Web" w:hAnsi="Titillium Web"/>
        </w:rPr>
        <w:t>Dennoch s</w:t>
      </w:r>
      <w:r w:rsidR="00260850" w:rsidRPr="007F2FAB">
        <w:rPr>
          <w:rFonts w:ascii="Titillium Web" w:hAnsi="Titillium Web"/>
        </w:rPr>
        <w:t xml:space="preserve">tellen Visualisierungen oft ein Begrünungsbild dar, das </w:t>
      </w:r>
      <w:r w:rsidR="005E191F" w:rsidRPr="007F2FAB">
        <w:rPr>
          <w:rFonts w:ascii="Titillium Web" w:hAnsi="Titillium Web"/>
        </w:rPr>
        <w:t>die Pflanzen in zehn oder mehr Jahren abbildet und daher oft zu Enttäuschungen führt.</w:t>
      </w:r>
    </w:p>
    <w:p w14:paraId="56AF8335" w14:textId="3CF1FDC0" w:rsidR="00791FB0" w:rsidRPr="00791FB0" w:rsidRDefault="00791FB0" w:rsidP="00D50593">
      <w:pPr>
        <w:jc w:val="both"/>
        <w:rPr>
          <w:rFonts w:ascii="Titillium Web" w:hAnsi="Titillium Web"/>
        </w:rPr>
      </w:pPr>
      <w:r w:rsidRPr="00791FB0">
        <w:rPr>
          <w:rFonts w:ascii="Titillium Web" w:hAnsi="Titillium Web"/>
          <w:b/>
          <w:bCs/>
        </w:rPr>
        <w:t>Bernhard Scharf</w:t>
      </w:r>
      <w:r w:rsidRPr="00791FB0">
        <w:rPr>
          <w:rFonts w:ascii="Titillium Web" w:hAnsi="Titillium Web"/>
        </w:rPr>
        <w:t xml:space="preserve"> stellte klar, dass Begrünung wesentlich zur Kühlung, Gesundheit und Attraktivität urbaner Räume beiträgt. Sie wurde daher im Workshop als Beispiel genutzt, um zu zeigen, welches Zukunftspotenzial in der Verbindung von Planung und Visualisierung steckt.</w:t>
      </w:r>
    </w:p>
    <w:p w14:paraId="6B3BE23F" w14:textId="34064C23" w:rsidR="00791FB0" w:rsidRPr="00791FB0" w:rsidRDefault="00791FB0" w:rsidP="00D50593">
      <w:pPr>
        <w:jc w:val="both"/>
        <w:rPr>
          <w:rFonts w:ascii="Titillium Web" w:hAnsi="Titillium Web"/>
        </w:rPr>
      </w:pPr>
      <w:r w:rsidRPr="00791FB0">
        <w:rPr>
          <w:rFonts w:ascii="Titillium Web" w:hAnsi="Titillium Web"/>
        </w:rPr>
        <w:t>Begrünungsvorhaben im Bestand – insbesondere in Eigentümergemeinschaften – benötigen breite Zustimmung.</w:t>
      </w:r>
      <w:r w:rsidR="00CA1B7C" w:rsidRPr="007F2FAB">
        <w:rPr>
          <w:rFonts w:ascii="Titillium Web" w:hAnsi="Titillium Web"/>
        </w:rPr>
        <w:t xml:space="preserve"> </w:t>
      </w:r>
      <w:r w:rsidRPr="00791FB0">
        <w:rPr>
          <w:rFonts w:ascii="Titillium Web" w:hAnsi="Titillium Web"/>
        </w:rPr>
        <w:t>Wie </w:t>
      </w:r>
      <w:r w:rsidRPr="00791FB0">
        <w:rPr>
          <w:rFonts w:ascii="Titillium Web" w:hAnsi="Titillium Web"/>
          <w:b/>
          <w:bCs/>
        </w:rPr>
        <w:t>Eri</w:t>
      </w:r>
      <w:r w:rsidR="008F1E0D" w:rsidRPr="007F2FAB">
        <w:rPr>
          <w:rFonts w:ascii="Titillium Web" w:hAnsi="Titillium Web"/>
          <w:b/>
          <w:bCs/>
        </w:rPr>
        <w:t>k</w:t>
      </w:r>
      <w:r w:rsidR="00BD0ABB" w:rsidRPr="007F2FAB">
        <w:rPr>
          <w:rFonts w:ascii="Titillium Web" w:hAnsi="Titillium Web"/>
          <w:b/>
          <w:bCs/>
        </w:rPr>
        <w:t xml:space="preserve"> </w:t>
      </w:r>
      <w:proofErr w:type="spellStart"/>
      <w:r w:rsidRPr="00791FB0">
        <w:rPr>
          <w:rFonts w:ascii="Titillium Web" w:hAnsi="Titillium Web"/>
          <w:b/>
          <w:bCs/>
        </w:rPr>
        <w:t>Meinharter</w:t>
      </w:r>
      <w:proofErr w:type="spellEnd"/>
      <w:r w:rsidRPr="00791FB0">
        <w:rPr>
          <w:rFonts w:ascii="Titillium Web" w:hAnsi="Titillium Web"/>
        </w:rPr>
        <w:t> hervorhob, können „Bilder Erwartungshaltungen generieren, die nachher unerfüllbar sind.“ Besonders bei Begrünungsprojekten ist dieser Punkt entscheidend, denn zu idealistische Bilder erzeugen Skepsis oder Enttäuschung und sachlich korrekte Visualisierungen schaffen Vertrauen und Entscheidungsfähigkeit.</w:t>
      </w:r>
    </w:p>
    <w:p w14:paraId="73637CDA" w14:textId="4175B8CA" w:rsidR="00791FB0" w:rsidRPr="00791FB0" w:rsidRDefault="00791FB0" w:rsidP="00D50593">
      <w:pPr>
        <w:jc w:val="both"/>
        <w:rPr>
          <w:rFonts w:ascii="Titillium Web" w:hAnsi="Titillium Web"/>
        </w:rPr>
      </w:pPr>
      <w:r w:rsidRPr="00791FB0">
        <w:rPr>
          <w:rFonts w:ascii="Titillium Web" w:hAnsi="Titillium Web"/>
        </w:rPr>
        <w:t>Die Veranstaltung machte klar: Visualisierung</w:t>
      </w:r>
      <w:r w:rsidR="00C91814">
        <w:rPr>
          <w:rFonts w:ascii="Titillium Web" w:hAnsi="Titillium Web"/>
        </w:rPr>
        <w:t xml:space="preserve">en </w:t>
      </w:r>
      <w:r w:rsidR="00FF3F2A">
        <w:rPr>
          <w:rFonts w:ascii="Titillium Web" w:hAnsi="Titillium Web"/>
        </w:rPr>
        <w:t xml:space="preserve">sind </w:t>
      </w:r>
      <w:r w:rsidRPr="00791FB0">
        <w:rPr>
          <w:rFonts w:ascii="Titillium Web" w:hAnsi="Titillium Web"/>
        </w:rPr>
        <w:t xml:space="preserve">weit mehr als Illustrationen. Sie können Planung beschleunigen, Beteiligung vereinfachen, </w:t>
      </w:r>
      <w:r w:rsidR="00247412" w:rsidRPr="007F2FAB">
        <w:rPr>
          <w:rFonts w:ascii="Titillium Web" w:hAnsi="Titillium Web"/>
        </w:rPr>
        <w:t>Visionen</w:t>
      </w:r>
      <w:r w:rsidRPr="00791FB0">
        <w:rPr>
          <w:rFonts w:ascii="Titillium Web" w:hAnsi="Titillium Web"/>
        </w:rPr>
        <w:t xml:space="preserve"> schaffen und damit den Weg zu einer neuen Sanierungskultur ebnen.</w:t>
      </w:r>
    </w:p>
    <w:p w14:paraId="2951781E" w14:textId="5E96592C" w:rsidR="009B2EA5" w:rsidRDefault="00791FB0" w:rsidP="00D50593">
      <w:pPr>
        <w:jc w:val="both"/>
        <w:rPr>
          <w:rFonts w:ascii="Titillium Web" w:hAnsi="Titillium Web"/>
        </w:rPr>
      </w:pPr>
      <w:r w:rsidRPr="00791FB0">
        <w:rPr>
          <w:rFonts w:ascii="Titillium Web" w:hAnsi="Titillium Web"/>
        </w:rPr>
        <w:t>Doch die Technologie ist nur so stark wie das Bewusstsein der Menschen, die sie einsetzen. Die Vision einer nachhaltigen, klimafitten Stadt entsteht</w:t>
      </w:r>
      <w:r w:rsidR="00574307" w:rsidRPr="007F2FAB">
        <w:rPr>
          <w:rFonts w:ascii="Titillium Web" w:hAnsi="Titillium Web"/>
        </w:rPr>
        <w:t xml:space="preserve"> </w:t>
      </w:r>
      <w:r w:rsidRPr="00791FB0">
        <w:rPr>
          <w:rFonts w:ascii="Titillium Web" w:hAnsi="Titillium Web"/>
        </w:rPr>
        <w:t>letztlich im Zusammenspiel von Fachwissen, sozialer Verantwortung und dialogorientierter Planung.</w:t>
      </w:r>
    </w:p>
    <w:p w14:paraId="6CC824C1" w14:textId="77777777" w:rsidR="00FB2EB7" w:rsidRDefault="00FB2EB7" w:rsidP="00D50593">
      <w:pPr>
        <w:jc w:val="both"/>
        <w:rPr>
          <w:rFonts w:ascii="Titillium Web" w:hAnsi="Titillium Web"/>
        </w:rPr>
      </w:pPr>
    </w:p>
    <w:p w14:paraId="0981E9EF" w14:textId="28BAEEC7" w:rsidR="00FB2EB7" w:rsidRDefault="00FB2EB7">
      <w:pPr>
        <w:rPr>
          <w:rFonts w:ascii="Titillium Web" w:hAnsi="Titillium Web"/>
        </w:rPr>
      </w:pPr>
      <w:r>
        <w:rPr>
          <w:rFonts w:ascii="Titillium Web" w:hAnsi="Titillium Web"/>
        </w:rPr>
        <w:br w:type="page"/>
      </w:r>
    </w:p>
    <w:p w14:paraId="26670A28" w14:textId="77777777" w:rsidR="00FB2EB7" w:rsidRPr="007F2FAB" w:rsidRDefault="00FB2EB7" w:rsidP="00D50593">
      <w:pPr>
        <w:jc w:val="both"/>
        <w:rPr>
          <w:rFonts w:ascii="Titillium Web" w:hAnsi="Titillium Web"/>
        </w:rPr>
      </w:pPr>
    </w:p>
    <w:sectPr w:rsidR="00FB2EB7" w:rsidRPr="007F2FAB">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786A3" w14:textId="77777777" w:rsidR="00F672CC" w:rsidRDefault="00F672CC" w:rsidP="007F2FAB">
      <w:pPr>
        <w:spacing w:after="0" w:line="240" w:lineRule="auto"/>
      </w:pPr>
      <w:r>
        <w:separator/>
      </w:r>
    </w:p>
  </w:endnote>
  <w:endnote w:type="continuationSeparator" w:id="0">
    <w:p w14:paraId="70F04D3C" w14:textId="77777777" w:rsidR="00F672CC" w:rsidRDefault="00F672CC" w:rsidP="007F2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tillium Web">
    <w:charset w:val="00"/>
    <w:family w:val="auto"/>
    <w:pitch w:val="variable"/>
    <w:sig w:usb0="00000007" w:usb1="00000001" w:usb2="00000000" w:usb3="00000000" w:csb0="00000093"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5DF33" w14:textId="77777777" w:rsidR="00F672CC" w:rsidRDefault="00F672CC" w:rsidP="007F2FAB">
      <w:pPr>
        <w:spacing w:after="0" w:line="240" w:lineRule="auto"/>
      </w:pPr>
      <w:r>
        <w:separator/>
      </w:r>
    </w:p>
  </w:footnote>
  <w:footnote w:type="continuationSeparator" w:id="0">
    <w:p w14:paraId="6282E0C1" w14:textId="77777777" w:rsidR="00F672CC" w:rsidRDefault="00F672CC" w:rsidP="007F2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94803" w14:textId="3A7BFF41" w:rsidR="00305B67" w:rsidRDefault="00305B67">
    <w:pPr>
      <w:pStyle w:val="Header"/>
    </w:pPr>
    <w:r>
      <w:t xml:space="preserve">04.12.2025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7706"/>
    <w:multiLevelType w:val="multilevel"/>
    <w:tmpl w:val="D1E2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3624CCD"/>
    <w:multiLevelType w:val="multilevel"/>
    <w:tmpl w:val="3D64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4074008">
    <w:abstractNumId w:val="0"/>
  </w:num>
  <w:num w:numId="2" w16cid:durableId="1403066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EA5"/>
    <w:rsid w:val="00013EA4"/>
    <w:rsid w:val="0004362D"/>
    <w:rsid w:val="00061E34"/>
    <w:rsid w:val="000B5B88"/>
    <w:rsid w:val="000C03DE"/>
    <w:rsid w:val="000C7DF8"/>
    <w:rsid w:val="000D471A"/>
    <w:rsid w:val="00117EFC"/>
    <w:rsid w:val="0012642E"/>
    <w:rsid w:val="00156A69"/>
    <w:rsid w:val="00167A78"/>
    <w:rsid w:val="00177044"/>
    <w:rsid w:val="001A6894"/>
    <w:rsid w:val="001B0586"/>
    <w:rsid w:val="00243EEC"/>
    <w:rsid w:val="00247412"/>
    <w:rsid w:val="00260850"/>
    <w:rsid w:val="0027240C"/>
    <w:rsid w:val="002A71C4"/>
    <w:rsid w:val="002C419F"/>
    <w:rsid w:val="00305B67"/>
    <w:rsid w:val="00325D80"/>
    <w:rsid w:val="0035584B"/>
    <w:rsid w:val="003A18A1"/>
    <w:rsid w:val="003C7413"/>
    <w:rsid w:val="0042286D"/>
    <w:rsid w:val="00454F92"/>
    <w:rsid w:val="004610A3"/>
    <w:rsid w:val="0049415F"/>
    <w:rsid w:val="0049638A"/>
    <w:rsid w:val="004A7DF4"/>
    <w:rsid w:val="004C6E7A"/>
    <w:rsid w:val="005034F1"/>
    <w:rsid w:val="00547A15"/>
    <w:rsid w:val="00574307"/>
    <w:rsid w:val="00594B22"/>
    <w:rsid w:val="005A7815"/>
    <w:rsid w:val="005C569F"/>
    <w:rsid w:val="005D633B"/>
    <w:rsid w:val="005D76C5"/>
    <w:rsid w:val="005E191F"/>
    <w:rsid w:val="00611340"/>
    <w:rsid w:val="00617975"/>
    <w:rsid w:val="00677459"/>
    <w:rsid w:val="006B409E"/>
    <w:rsid w:val="00713C2E"/>
    <w:rsid w:val="00723293"/>
    <w:rsid w:val="00734794"/>
    <w:rsid w:val="007724D4"/>
    <w:rsid w:val="00791FB0"/>
    <w:rsid w:val="00793E36"/>
    <w:rsid w:val="007A1EFF"/>
    <w:rsid w:val="007A4A5C"/>
    <w:rsid w:val="007F2FAB"/>
    <w:rsid w:val="0080013A"/>
    <w:rsid w:val="008069B5"/>
    <w:rsid w:val="008B7A40"/>
    <w:rsid w:val="008F1E0D"/>
    <w:rsid w:val="009232D5"/>
    <w:rsid w:val="00931BA3"/>
    <w:rsid w:val="0093221C"/>
    <w:rsid w:val="00956C7C"/>
    <w:rsid w:val="009745C1"/>
    <w:rsid w:val="00982B2E"/>
    <w:rsid w:val="009B2EA5"/>
    <w:rsid w:val="009F51AE"/>
    <w:rsid w:val="00A7606D"/>
    <w:rsid w:val="00A778EE"/>
    <w:rsid w:val="00AB1280"/>
    <w:rsid w:val="00AF0FBB"/>
    <w:rsid w:val="00B24833"/>
    <w:rsid w:val="00B253DC"/>
    <w:rsid w:val="00B27368"/>
    <w:rsid w:val="00B85020"/>
    <w:rsid w:val="00BC44DA"/>
    <w:rsid w:val="00BD0ABB"/>
    <w:rsid w:val="00BD60B3"/>
    <w:rsid w:val="00C53436"/>
    <w:rsid w:val="00C91814"/>
    <w:rsid w:val="00CA1B7C"/>
    <w:rsid w:val="00D50593"/>
    <w:rsid w:val="00DA4841"/>
    <w:rsid w:val="00DB4359"/>
    <w:rsid w:val="00DE4182"/>
    <w:rsid w:val="00E66771"/>
    <w:rsid w:val="00EA04AF"/>
    <w:rsid w:val="00EF4966"/>
    <w:rsid w:val="00EF5BA1"/>
    <w:rsid w:val="00F27004"/>
    <w:rsid w:val="00F27D34"/>
    <w:rsid w:val="00F672CC"/>
    <w:rsid w:val="00F87425"/>
    <w:rsid w:val="00FB2EB7"/>
    <w:rsid w:val="00FC4F21"/>
    <w:rsid w:val="00FF3F2A"/>
    <w:rsid w:val="25382F50"/>
    <w:rsid w:val="74328652"/>
    <w:rsid w:val="7C173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AFF8E"/>
  <w15:chartTrackingRefBased/>
  <w15:docId w15:val="{88D7D535-526A-41D2-9155-D44C52FB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E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E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E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E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E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E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E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E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E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E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E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E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E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E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E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E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E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EA5"/>
    <w:rPr>
      <w:rFonts w:eastAsiaTheme="majorEastAsia" w:cstheme="majorBidi"/>
      <w:color w:val="272727" w:themeColor="text1" w:themeTint="D8"/>
    </w:rPr>
  </w:style>
  <w:style w:type="paragraph" w:styleId="Title">
    <w:name w:val="Title"/>
    <w:basedOn w:val="Normal"/>
    <w:next w:val="Normal"/>
    <w:link w:val="TitleChar"/>
    <w:uiPriority w:val="10"/>
    <w:qFormat/>
    <w:rsid w:val="009B2E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E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E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E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EA5"/>
    <w:pPr>
      <w:spacing w:before="160"/>
      <w:jc w:val="center"/>
    </w:pPr>
    <w:rPr>
      <w:i/>
      <w:iCs/>
      <w:color w:val="404040" w:themeColor="text1" w:themeTint="BF"/>
    </w:rPr>
  </w:style>
  <w:style w:type="character" w:customStyle="1" w:styleId="QuoteChar">
    <w:name w:val="Quote Char"/>
    <w:basedOn w:val="DefaultParagraphFont"/>
    <w:link w:val="Quote"/>
    <w:uiPriority w:val="29"/>
    <w:rsid w:val="009B2EA5"/>
    <w:rPr>
      <w:i/>
      <w:iCs/>
      <w:color w:val="404040" w:themeColor="text1" w:themeTint="BF"/>
    </w:rPr>
  </w:style>
  <w:style w:type="paragraph" w:styleId="ListParagraph">
    <w:name w:val="List Paragraph"/>
    <w:basedOn w:val="Normal"/>
    <w:uiPriority w:val="34"/>
    <w:qFormat/>
    <w:rsid w:val="009B2EA5"/>
    <w:pPr>
      <w:ind w:left="720"/>
      <w:contextualSpacing/>
    </w:pPr>
  </w:style>
  <w:style w:type="character" w:styleId="IntenseEmphasis">
    <w:name w:val="Intense Emphasis"/>
    <w:basedOn w:val="DefaultParagraphFont"/>
    <w:uiPriority w:val="21"/>
    <w:qFormat/>
    <w:rsid w:val="009B2EA5"/>
    <w:rPr>
      <w:i/>
      <w:iCs/>
      <w:color w:val="0F4761" w:themeColor="accent1" w:themeShade="BF"/>
    </w:rPr>
  </w:style>
  <w:style w:type="paragraph" w:styleId="IntenseQuote">
    <w:name w:val="Intense Quote"/>
    <w:basedOn w:val="Normal"/>
    <w:next w:val="Normal"/>
    <w:link w:val="IntenseQuoteChar"/>
    <w:uiPriority w:val="30"/>
    <w:qFormat/>
    <w:rsid w:val="009B2E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EA5"/>
    <w:rPr>
      <w:i/>
      <w:iCs/>
      <w:color w:val="0F4761" w:themeColor="accent1" w:themeShade="BF"/>
    </w:rPr>
  </w:style>
  <w:style w:type="character" w:styleId="IntenseReference">
    <w:name w:val="Intense Reference"/>
    <w:basedOn w:val="DefaultParagraphFont"/>
    <w:uiPriority w:val="32"/>
    <w:qFormat/>
    <w:rsid w:val="009B2EA5"/>
    <w:rPr>
      <w:b/>
      <w:bCs/>
      <w:smallCaps/>
      <w:color w:val="0F4761" w:themeColor="accent1" w:themeShade="BF"/>
      <w:spacing w:val="5"/>
    </w:rPr>
  </w:style>
  <w:style w:type="character" w:styleId="CommentReference">
    <w:name w:val="annotation reference"/>
    <w:basedOn w:val="DefaultParagraphFont"/>
    <w:uiPriority w:val="99"/>
    <w:semiHidden/>
    <w:unhideWhenUsed/>
    <w:rsid w:val="00574307"/>
    <w:rPr>
      <w:sz w:val="16"/>
      <w:szCs w:val="16"/>
    </w:rPr>
  </w:style>
  <w:style w:type="paragraph" w:styleId="CommentText">
    <w:name w:val="annotation text"/>
    <w:basedOn w:val="Normal"/>
    <w:link w:val="CommentTextChar"/>
    <w:uiPriority w:val="99"/>
    <w:unhideWhenUsed/>
    <w:rsid w:val="00574307"/>
    <w:pPr>
      <w:spacing w:line="240" w:lineRule="auto"/>
    </w:pPr>
    <w:rPr>
      <w:sz w:val="20"/>
      <w:szCs w:val="20"/>
    </w:rPr>
  </w:style>
  <w:style w:type="character" w:customStyle="1" w:styleId="CommentTextChar">
    <w:name w:val="Comment Text Char"/>
    <w:basedOn w:val="DefaultParagraphFont"/>
    <w:link w:val="CommentText"/>
    <w:uiPriority w:val="99"/>
    <w:rsid w:val="00574307"/>
    <w:rPr>
      <w:sz w:val="20"/>
      <w:szCs w:val="20"/>
    </w:rPr>
  </w:style>
  <w:style w:type="paragraph" w:styleId="CommentSubject">
    <w:name w:val="annotation subject"/>
    <w:basedOn w:val="CommentText"/>
    <w:next w:val="CommentText"/>
    <w:link w:val="CommentSubjectChar"/>
    <w:uiPriority w:val="99"/>
    <w:semiHidden/>
    <w:unhideWhenUsed/>
    <w:rsid w:val="00574307"/>
    <w:rPr>
      <w:b/>
      <w:bCs/>
    </w:rPr>
  </w:style>
  <w:style w:type="character" w:customStyle="1" w:styleId="CommentSubjectChar">
    <w:name w:val="Comment Subject Char"/>
    <w:basedOn w:val="CommentTextChar"/>
    <w:link w:val="CommentSubject"/>
    <w:uiPriority w:val="99"/>
    <w:semiHidden/>
    <w:rsid w:val="00574307"/>
    <w:rPr>
      <w:b/>
      <w:bCs/>
      <w:sz w:val="20"/>
      <w:szCs w:val="20"/>
    </w:rPr>
  </w:style>
  <w:style w:type="paragraph" w:styleId="Header">
    <w:name w:val="header"/>
    <w:basedOn w:val="Normal"/>
    <w:link w:val="HeaderChar"/>
    <w:uiPriority w:val="99"/>
    <w:unhideWhenUsed/>
    <w:rsid w:val="007F2FA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2FAB"/>
  </w:style>
  <w:style w:type="paragraph" w:styleId="Footer">
    <w:name w:val="footer"/>
    <w:basedOn w:val="Normal"/>
    <w:link w:val="FooterChar"/>
    <w:uiPriority w:val="99"/>
    <w:unhideWhenUsed/>
    <w:rsid w:val="007F2F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2FAB"/>
  </w:style>
  <w:style w:type="character" w:styleId="Hyperlink">
    <w:name w:val="Hyperlink"/>
    <w:basedOn w:val="DefaultParagraphFont"/>
    <w:uiPriority w:val="99"/>
    <w:unhideWhenUsed/>
    <w:rsid w:val="00B253DC"/>
    <w:rPr>
      <w:color w:val="467886" w:themeColor="hyperlink"/>
      <w:u w:val="single"/>
    </w:rPr>
  </w:style>
  <w:style w:type="character" w:styleId="UnresolvedMention">
    <w:name w:val="Unresolved Mention"/>
    <w:basedOn w:val="DefaultParagraphFont"/>
    <w:uiPriority w:val="99"/>
    <w:semiHidden/>
    <w:unhideWhenUsed/>
    <w:rsid w:val="00B25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D8009E1875BE9488AB2F614C50AAFFF" ma:contentTypeVersion="17" ma:contentTypeDescription="Ein neues Dokument erstellen." ma:contentTypeScope="" ma:versionID="80d2b6af6a56c760c1647317cbffcaf3">
  <xsd:schema xmlns:xsd="http://www.w3.org/2001/XMLSchema" xmlns:xs="http://www.w3.org/2001/XMLSchema" xmlns:p="http://schemas.microsoft.com/office/2006/metadata/properties" xmlns:ns2="27c71fc3-28c1-4b94-bfc8-2f1f3dfc71b7" xmlns:ns3="d9f3c4cc-7f70-43d6-b0f4-3505880dc771" targetNamespace="http://schemas.microsoft.com/office/2006/metadata/properties" ma:root="true" ma:fieldsID="8af7d8164298a25b353cd7e3f08c4302" ns2:_="" ns3:_="">
    <xsd:import namespace="27c71fc3-28c1-4b94-bfc8-2f1f3dfc71b7"/>
    <xsd:import namespace="d9f3c4cc-7f70-43d6-b0f4-3505880dc7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71fc3-28c1-4b94-bfc8-2f1f3dfc7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1d1454ed-e1d1-4bd5-9a1f-21ab4bf0216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3c4cc-7f70-43d6-b0f4-3505880dc77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c80152e4-ebe3-465d-967d-da33a6453233}" ma:internalName="TaxCatchAll" ma:showField="CatchAllData" ma:web="d9f3c4cc-7f70-43d6-b0f4-3505880dc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c71fc3-28c1-4b94-bfc8-2f1f3dfc71b7">
      <Terms xmlns="http://schemas.microsoft.com/office/infopath/2007/PartnerControls"/>
    </lcf76f155ced4ddcb4097134ff3c332f>
    <TaxCatchAll xmlns="d9f3c4cc-7f70-43d6-b0f4-3505880dc771" xsi:nil="true"/>
  </documentManagement>
</p:properties>
</file>

<file path=customXml/itemProps1.xml><?xml version="1.0" encoding="utf-8"?>
<ds:datastoreItem xmlns:ds="http://schemas.openxmlformats.org/officeDocument/2006/customXml" ds:itemID="{E603F985-D07E-4550-855D-2B66C5E4C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71fc3-28c1-4b94-bfc8-2f1f3dfc71b7"/>
    <ds:schemaRef ds:uri="d9f3c4cc-7f70-43d6-b0f4-3505880dc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64AE9-46D6-4694-A088-28B6AAAAF1FE}">
  <ds:schemaRefs>
    <ds:schemaRef ds:uri="http://schemas.microsoft.com/sharepoint/v3/contenttype/forms"/>
  </ds:schemaRefs>
</ds:datastoreItem>
</file>

<file path=customXml/itemProps3.xml><?xml version="1.0" encoding="utf-8"?>
<ds:datastoreItem xmlns:ds="http://schemas.openxmlformats.org/officeDocument/2006/customXml" ds:itemID="{A93707FA-4BFE-431A-8917-B53A2D9D26D7}">
  <ds:schemaRefs>
    <ds:schemaRef ds:uri="http://schemas.microsoft.com/office/2006/metadata/properties"/>
    <ds:schemaRef ds:uri="http://schemas.microsoft.com/office/infopath/2007/PartnerControls"/>
    <ds:schemaRef ds:uri="27c71fc3-28c1-4b94-bfc8-2f1f3dfc71b7"/>
    <ds:schemaRef ds:uri="d9f3c4cc-7f70-43d6-b0f4-3505880dc77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1331</Words>
  <Characters>7593</Characters>
  <Application>Microsoft Office Word</Application>
  <DocSecurity>4</DocSecurity>
  <Lines>63</Lines>
  <Paragraphs>17</Paragraphs>
  <ScaleCrop>false</ScaleCrop>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Mühlbauer</dc:creator>
  <cp:keywords/>
  <dc:description/>
  <cp:lastModifiedBy>Susanne Formanek</cp:lastModifiedBy>
  <cp:revision>85</cp:revision>
  <dcterms:created xsi:type="dcterms:W3CDTF">2025-12-05T09:09:00Z</dcterms:created>
  <dcterms:modified xsi:type="dcterms:W3CDTF">2025-12-11T13:22:00Z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0x0101004D8009E1875BE9488AB2F614C50AAFFF</vt:lpwstr>
  </property>
  <property fmtid="{D5CDD505-2E9C-101B-9397-08002B2CF9AE}" pid="3" name="MediaServiceImageTags">
    <vt:lpwstr/>
  </property>
</Properties>
</file>